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color w:val="auto"/>
          <w:kern w:val="2"/>
          <w:sz w:val="44"/>
          <w:szCs w:val="44"/>
          <w:lang w:bidi="ar"/>
        </w:rPr>
      </w:pPr>
      <w:r>
        <w:rPr>
          <w:rFonts w:hint="eastAsia" w:ascii="方正小标宋简体" w:hAnsi="方正小标宋简体" w:eastAsia="方正小标宋简体" w:cs="方正小标宋简体"/>
          <w:b w:val="0"/>
          <w:bCs w:val="0"/>
          <w:snapToGrid w:val="0"/>
          <w:color w:val="auto"/>
          <w:kern w:val="2"/>
          <w:sz w:val="44"/>
          <w:szCs w:val="44"/>
          <w:lang w:eastAsia="zh-CN" w:bidi="ar"/>
        </w:rPr>
        <w:t>202</w:t>
      </w:r>
      <w:r>
        <w:rPr>
          <w:rFonts w:hint="eastAsia" w:ascii="方正小标宋简体" w:hAnsi="方正小标宋简体" w:eastAsia="方正小标宋简体" w:cs="方正小标宋简体"/>
          <w:b w:val="0"/>
          <w:bCs w:val="0"/>
          <w:snapToGrid w:val="0"/>
          <w:color w:val="auto"/>
          <w:kern w:val="2"/>
          <w:sz w:val="44"/>
          <w:szCs w:val="44"/>
          <w:lang w:val="en-US" w:eastAsia="zh-CN" w:bidi="ar"/>
        </w:rPr>
        <w:t>3</w:t>
      </w:r>
      <w:r>
        <w:rPr>
          <w:rFonts w:hint="eastAsia" w:ascii="方正小标宋简体" w:hAnsi="方正小标宋简体" w:eastAsia="方正小标宋简体" w:cs="方正小标宋简体"/>
          <w:b w:val="0"/>
          <w:bCs w:val="0"/>
          <w:snapToGrid w:val="0"/>
          <w:color w:val="auto"/>
          <w:kern w:val="2"/>
          <w:sz w:val="44"/>
          <w:szCs w:val="44"/>
          <w:lang w:eastAsia="zh-CN" w:bidi="ar"/>
        </w:rPr>
        <w:t>年度</w:t>
      </w:r>
      <w:r>
        <w:rPr>
          <w:rFonts w:hint="eastAsia" w:ascii="方正小标宋简体" w:hAnsi="方正小标宋简体" w:eastAsia="方正小标宋简体" w:cs="方正小标宋简体"/>
          <w:b w:val="0"/>
          <w:bCs w:val="0"/>
          <w:snapToGrid w:val="0"/>
          <w:color w:val="auto"/>
          <w:kern w:val="2"/>
          <w:sz w:val="44"/>
          <w:szCs w:val="44"/>
          <w:lang w:bidi="ar"/>
        </w:rPr>
        <w:t>中央集中彩票公益金支持体育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color w:val="auto"/>
          <w:kern w:val="2"/>
          <w:sz w:val="44"/>
          <w:szCs w:val="44"/>
          <w:lang w:bidi="ar"/>
        </w:rPr>
      </w:pPr>
      <w:r>
        <w:rPr>
          <w:rFonts w:hint="eastAsia" w:ascii="方正小标宋简体" w:hAnsi="方正小标宋简体" w:eastAsia="方正小标宋简体" w:cs="方正小标宋简体"/>
          <w:b w:val="0"/>
          <w:bCs w:val="0"/>
          <w:snapToGrid w:val="0"/>
          <w:color w:val="auto"/>
          <w:kern w:val="2"/>
          <w:sz w:val="44"/>
          <w:szCs w:val="44"/>
          <w:lang w:bidi="ar"/>
        </w:rPr>
        <w:t>事业专项资金转移支付绩效自评报告</w:t>
      </w:r>
    </w:p>
    <w:p>
      <w:pPr>
        <w:keepNext w:val="0"/>
        <w:keepLines w:val="0"/>
        <w:pageBreakBefore w:val="0"/>
        <w:widowControl w:val="0"/>
        <w:kinsoku/>
        <w:wordWrap/>
        <w:overflowPunct/>
        <w:topLinePunct w:val="0"/>
        <w:autoSpaceDE/>
        <w:autoSpaceDN/>
        <w:bidi w:val="0"/>
        <w:adjustRightInd/>
        <w:snapToGrid/>
        <w:spacing w:before="313" w:beforeLines="100" w:line="360" w:lineRule="auto"/>
        <w:jc w:val="both"/>
        <w:textAlignment w:val="auto"/>
        <w:rPr>
          <w:rFonts w:hint="eastAsia" w:ascii="仿宋_GB2312"/>
          <w:bCs/>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绩效目标分解下达情况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根据《财政部关于下达202</w:t>
      </w: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年中央集中彩票公益金支持体育事业专项资金预算的通知》（财教〔202</w:t>
      </w: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88</w:t>
      </w:r>
      <w:r>
        <w:rPr>
          <w:rFonts w:hint="eastAsia" w:ascii="仿宋_GB2312" w:hAnsi="仿宋_GB2312" w:eastAsia="仿宋_GB2312" w:cs="仿宋_GB2312"/>
          <w:b w:val="0"/>
          <w:bCs w:val="0"/>
          <w:color w:val="auto"/>
          <w:sz w:val="32"/>
          <w:szCs w:val="32"/>
          <w:lang w:val="en-US" w:eastAsia="zh-CN"/>
        </w:rPr>
        <w:t>号）、</w:t>
      </w:r>
      <w:r>
        <w:rPr>
          <w:rFonts w:hint="eastAsia" w:ascii="仿宋_GB2312" w:hAnsi="仿宋_GB2312" w:cs="仿宋_GB2312"/>
          <w:b w:val="0"/>
          <w:bCs w:val="0"/>
          <w:color w:val="auto"/>
          <w:sz w:val="32"/>
          <w:szCs w:val="32"/>
          <w:lang w:val="en-US" w:eastAsia="zh-CN"/>
        </w:rPr>
        <w:t>《财政部关于提前下达2023年中央集中彩票公益金支持体育事业专项资金预算的通知》（财教</w:t>
      </w:r>
      <w:r>
        <w:rPr>
          <w:rFonts w:hint="eastAsia" w:ascii="仿宋_GB2312" w:hAnsi="仿宋_GB2312" w:eastAsia="仿宋_GB2312" w:cs="仿宋_GB2312"/>
          <w:b w:val="0"/>
          <w:bCs w:val="0"/>
          <w:color w:val="auto"/>
          <w:sz w:val="32"/>
          <w:szCs w:val="32"/>
          <w:lang w:val="en-US" w:eastAsia="zh-CN"/>
        </w:rPr>
        <w:t>〔202</w:t>
      </w: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237号），中央下达我省“</w:t>
      </w:r>
      <w:r>
        <w:rPr>
          <w:rFonts w:hint="eastAsia" w:ascii="仿宋_GB2312" w:hAnsi="仿宋_GB2312" w:eastAsia="仿宋_GB2312" w:cs="仿宋_GB2312"/>
          <w:b w:val="0"/>
          <w:bCs w:val="0"/>
          <w:color w:val="auto"/>
          <w:sz w:val="32"/>
          <w:szCs w:val="32"/>
          <w:lang w:val="en-US" w:eastAsia="zh-CN"/>
        </w:rPr>
        <w:t>202</w:t>
      </w: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cs="仿宋_GB2312"/>
          <w:b w:val="0"/>
          <w:bCs w:val="0"/>
          <w:color w:val="auto"/>
          <w:sz w:val="32"/>
          <w:szCs w:val="32"/>
          <w:lang w:val="en-US" w:eastAsia="zh-CN"/>
        </w:rPr>
        <w:t>度中央集彩公益金”共7,316.00</w:t>
      </w:r>
      <w:r>
        <w:rPr>
          <w:rFonts w:hint="eastAsia" w:ascii="仿宋_GB2312" w:hAnsi="仿宋_GB2312" w:eastAsia="仿宋_GB2312" w:cs="仿宋_GB2312"/>
          <w:b w:val="0"/>
          <w:bCs w:val="0"/>
          <w:color w:val="auto"/>
          <w:sz w:val="32"/>
          <w:szCs w:val="32"/>
          <w:lang w:val="en-US" w:eastAsia="zh-CN"/>
        </w:rPr>
        <w:t>万元</w:t>
      </w:r>
      <w:r>
        <w:rPr>
          <w:rFonts w:hint="eastAsia" w:ascii="仿宋_GB2312" w:hAnsi="仿宋_GB2312" w:cs="仿宋_GB2312"/>
          <w:b w:val="0"/>
          <w:bCs w:val="0"/>
          <w:color w:val="auto"/>
          <w:sz w:val="32"/>
          <w:szCs w:val="32"/>
          <w:lang w:val="en-US" w:eastAsia="zh-CN"/>
        </w:rPr>
        <w:t>和对应的</w:t>
      </w:r>
      <w:r>
        <w:rPr>
          <w:rFonts w:hint="eastAsia" w:ascii="仿宋_GB2312" w:hAnsi="仿宋_GB2312" w:eastAsia="仿宋_GB2312" w:cs="仿宋_GB2312"/>
          <w:b w:val="0"/>
          <w:bCs w:val="0"/>
          <w:color w:val="auto"/>
          <w:sz w:val="32"/>
          <w:szCs w:val="32"/>
          <w:lang w:val="en-US" w:eastAsia="zh-CN"/>
        </w:rPr>
        <w:t>绩效目标</w:t>
      </w:r>
      <w:r>
        <w:rPr>
          <w:rFonts w:hint="eastAsia" w:ascii="仿宋_GB2312" w:hAnsi="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“2023年度中央集彩公益金”省内资金安排、分解下达预算和</w:t>
      </w:r>
      <w:r>
        <w:rPr>
          <w:rFonts w:hint="eastAsia" w:ascii="仿宋_GB2312" w:hAnsi="仿宋_GB2312" w:eastAsia="仿宋_GB2312" w:cs="仿宋_GB2312"/>
          <w:snapToGrid w:val="0"/>
          <w:color w:val="auto"/>
          <w:kern w:val="0"/>
          <w:sz w:val="32"/>
          <w:szCs w:val="32"/>
          <w:lang w:val="en-US" w:eastAsia="zh-CN"/>
        </w:rPr>
        <w:t>任务</w:t>
      </w:r>
      <w:r>
        <w:rPr>
          <w:rFonts w:hint="eastAsia" w:ascii="仿宋_GB2312" w:hAnsi="仿宋_GB2312" w:cs="仿宋_GB2312"/>
          <w:b w:val="0"/>
          <w:bCs w:val="0"/>
          <w:color w:val="auto"/>
          <w:sz w:val="32"/>
          <w:szCs w:val="32"/>
          <w:lang w:val="en-US" w:eastAsia="zh-CN"/>
        </w:rPr>
        <w:t>到省本级相关单位、有关市及省直管县情况详见附表1。</w:t>
      </w:r>
      <w:r>
        <w:rPr>
          <w:rFonts w:hint="eastAsia" w:ascii="仿宋_GB2312" w:hAnsi="仿宋_GB2312" w:eastAsia="仿宋_GB2312" w:cs="仿宋_GB2312"/>
          <w:color w:val="auto"/>
          <w:sz w:val="32"/>
          <w:szCs w:val="32"/>
          <w:lang w:val="en-US" w:eastAsia="zh-CN"/>
        </w:rPr>
        <w:t>我省的绩效目标情况</w:t>
      </w:r>
      <w:r>
        <w:rPr>
          <w:rFonts w:hint="eastAsia" w:ascii="仿宋_GB2312" w:hAnsi="仿宋_GB2312" w:eastAsia="仿宋_GB2312" w:cs="仿宋_GB2312"/>
          <w:b w:val="0"/>
          <w:bCs w:val="0"/>
          <w:color w:val="auto"/>
          <w:sz w:val="32"/>
          <w:szCs w:val="32"/>
          <w:lang w:val="en-US" w:eastAsia="zh-CN"/>
        </w:rPr>
        <w:t>如表1-1所示。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28"/>
          <w:szCs w:val="28"/>
          <w:highlight w:val="none"/>
          <w:lang w:val="en-US" w:eastAsia="zh-CN"/>
        </w:rPr>
        <w:t>表1-1 “2023年度</w:t>
      </w:r>
      <w:r>
        <w:rPr>
          <w:rFonts w:hint="eastAsia" w:ascii="黑体" w:hAnsi="黑体" w:eastAsia="黑体" w:cs="黑体"/>
          <w:b w:val="0"/>
          <w:bCs w:val="0"/>
          <w:color w:val="auto"/>
          <w:sz w:val="28"/>
          <w:szCs w:val="28"/>
          <w:highlight w:val="none"/>
          <w:lang w:val="en-US" w:eastAsia="zh-CN"/>
        </w:rPr>
        <w:t>中央集彩公益金</w:t>
      </w:r>
      <w:r>
        <w:rPr>
          <w:rFonts w:hint="eastAsia" w:ascii="黑体" w:hAnsi="黑体" w:eastAsia="黑体" w:cs="黑体"/>
          <w:color w:val="auto"/>
          <w:sz w:val="28"/>
          <w:szCs w:val="28"/>
          <w:highlight w:val="none"/>
          <w:lang w:val="en-US" w:eastAsia="zh-CN"/>
        </w:rPr>
        <w:t>”绩效目标表</w:t>
      </w:r>
    </w:p>
    <w:tbl>
      <w:tblPr>
        <w:tblStyle w:val="10"/>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69"/>
        <w:gridCol w:w="1513"/>
        <w:gridCol w:w="3682"/>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shd w:val="clear" w:color="auto" w:fill="DEEBF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cs="仿宋_GB2312"/>
                <w:b/>
                <w:bCs/>
                <w:color w:val="auto"/>
                <w:sz w:val="21"/>
                <w:szCs w:val="21"/>
                <w:vertAlign w:val="baseline"/>
                <w:lang w:val="en-US" w:eastAsia="zh-CN"/>
              </w:rPr>
              <w:t>年度</w:t>
            </w:r>
            <w:r>
              <w:rPr>
                <w:rFonts w:hint="eastAsia" w:ascii="仿宋_GB2312" w:hAnsi="仿宋_GB2312" w:eastAsia="仿宋_GB2312" w:cs="仿宋_GB2312"/>
                <w:b/>
                <w:bCs/>
                <w:color w:val="auto"/>
                <w:sz w:val="21"/>
                <w:szCs w:val="21"/>
                <w:vertAlign w:val="baseline"/>
                <w:lang w:val="en-US" w:eastAsia="zh-CN"/>
              </w:rPr>
              <w:t>目标</w:t>
            </w:r>
          </w:p>
        </w:tc>
        <w:tc>
          <w:tcPr>
            <w:tcW w:w="8209" w:type="dxa"/>
            <w:gridSpan w:val="4"/>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r>
              <w:rPr>
                <w:rFonts w:hint="eastAsia" w:ascii="仿宋_GB2312" w:hAnsi="仿宋_GB2312" w:cs="仿宋_GB2312"/>
                <w:color w:val="auto"/>
                <w:kern w:val="0"/>
                <w:sz w:val="21"/>
                <w:szCs w:val="21"/>
                <w:lang w:val="en-US" w:eastAsia="zh-CN" w:bidi="ar"/>
              </w:rPr>
              <w:t>.</w:t>
            </w:r>
            <w:r>
              <w:rPr>
                <w:rFonts w:hint="eastAsia" w:ascii="仿宋_GB2312" w:hAnsi="仿宋_GB2312" w:eastAsia="仿宋_GB2312" w:cs="仿宋_GB2312"/>
                <w:color w:val="auto"/>
                <w:kern w:val="0"/>
                <w:sz w:val="21"/>
                <w:szCs w:val="21"/>
                <w:lang w:val="en-US" w:eastAsia="zh-CN" w:bidi="ar"/>
              </w:rPr>
              <w:t>建设全民健身场地设施数量121个，其中</w:t>
            </w:r>
            <w:r>
              <w:rPr>
                <w:rFonts w:hint="eastAsia" w:ascii="仿宋_GB2312" w:hAnsi="仿宋_GB2312" w:cs="仿宋_GB2312"/>
                <w:color w:val="auto"/>
                <w:kern w:val="0"/>
                <w:sz w:val="21"/>
                <w:szCs w:val="21"/>
                <w:lang w:val="en-US" w:eastAsia="zh-CN" w:bidi="ar"/>
              </w:rPr>
              <w:t>配置</w:t>
            </w:r>
            <w:r>
              <w:rPr>
                <w:rFonts w:hint="eastAsia" w:ascii="仿宋_GB2312" w:hAnsi="仿宋_GB2312" w:eastAsia="仿宋_GB2312" w:cs="仿宋_GB2312"/>
                <w:color w:val="auto"/>
                <w:kern w:val="0"/>
                <w:sz w:val="21"/>
                <w:szCs w:val="21"/>
                <w:lang w:val="en-US" w:eastAsia="zh-CN" w:bidi="ar"/>
              </w:rPr>
              <w:t>智能化设施设备的小型体育公园、小型健身中心等场地设施2个，国球进社区、进公园119个；举办全民健身赛事活动334场，不少于42400人次；开展万村女性社会体育指导员培训的行政村数量108个；开展全民健身志愿服务不少于15场；培训国家级社会体育指导员150人；举办国家体育锻炼标准达标活动不少于15场，参加人数3000人次以上。</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w:t>
            </w:r>
            <w:r>
              <w:rPr>
                <w:rFonts w:hint="eastAsia" w:ascii="仿宋_GB2312" w:hAnsi="仿宋_GB2312" w:cs="仿宋_GB2312"/>
                <w:color w:val="auto"/>
                <w:kern w:val="0"/>
                <w:sz w:val="21"/>
                <w:szCs w:val="21"/>
                <w:lang w:val="en-US" w:eastAsia="zh-CN" w:bidi="ar"/>
              </w:rPr>
              <w:t>.</w:t>
            </w:r>
            <w:r>
              <w:rPr>
                <w:rFonts w:hint="eastAsia" w:ascii="仿宋_GB2312" w:hAnsi="仿宋_GB2312" w:eastAsia="仿宋_GB2312" w:cs="仿宋_GB2312"/>
                <w:color w:val="auto"/>
                <w:kern w:val="0"/>
                <w:sz w:val="21"/>
                <w:szCs w:val="21"/>
                <w:lang w:val="en-US" w:eastAsia="zh-CN" w:bidi="ar"/>
              </w:rPr>
              <w:t>2023年参加青少年体育活动人数不低于50万人，参加U系列比赛青少年人数不少于1000人，赛风赛纪和反兴奋剂覆盖青少年不少于10万人，青训中心对社会开放时长不低于500小时，资助1个足球重点城市，培养篮球、排球、举重、跳水、体校项目后备人才不少于60人、30人、20人、20人、20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3</w:t>
            </w:r>
            <w:r>
              <w:rPr>
                <w:rFonts w:hint="eastAsia" w:ascii="仿宋_GB2312" w:hAnsi="仿宋_GB2312" w:cs="仿宋_GB2312"/>
                <w:color w:val="auto"/>
                <w:kern w:val="0"/>
                <w:sz w:val="21"/>
                <w:szCs w:val="21"/>
                <w:lang w:val="en-US" w:eastAsia="zh-CN" w:bidi="ar"/>
              </w:rPr>
              <w:t>.</w:t>
            </w:r>
            <w:r>
              <w:rPr>
                <w:rFonts w:hint="eastAsia" w:ascii="仿宋_GB2312" w:hAnsi="仿宋_GB2312" w:eastAsia="仿宋_GB2312" w:cs="仿宋_GB2312"/>
                <w:color w:val="auto"/>
                <w:kern w:val="0"/>
                <w:sz w:val="21"/>
                <w:szCs w:val="21"/>
                <w:lang w:val="en-US" w:eastAsia="zh-CN" w:bidi="ar"/>
              </w:rPr>
              <w:t>通过支持国家高水平体育训练基地建设和“体育泡泡”训练基地建设等措施，提高江门市国家排球训练基地建设水平，建好清远市国家队训练基地，改善相关项目国家队训练基地条件，为国家队备战集训、出入境中转等提供优质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2" w:type="dxa"/>
            <w:vMerge w:val="restart"/>
            <w:shd w:val="clear" w:color="auto" w:fill="DEEBF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绩效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目标</w:t>
            </w:r>
          </w:p>
        </w:tc>
        <w:tc>
          <w:tcPr>
            <w:tcW w:w="1269" w:type="dxa"/>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一级指标</w:t>
            </w:r>
          </w:p>
        </w:tc>
        <w:tc>
          <w:tcPr>
            <w:tcW w:w="1513" w:type="dxa"/>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二级指标</w:t>
            </w:r>
          </w:p>
        </w:tc>
        <w:tc>
          <w:tcPr>
            <w:tcW w:w="3682" w:type="dxa"/>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三级指标</w:t>
            </w:r>
          </w:p>
        </w:tc>
        <w:tc>
          <w:tcPr>
            <w:tcW w:w="1745" w:type="dxa"/>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产出指标</w:t>
            </w:r>
          </w:p>
        </w:tc>
        <w:tc>
          <w:tcPr>
            <w:tcW w:w="151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数量指标</w:t>
            </w: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支持场地设施数量</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≥121个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支持训练基地数量</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支持赛事活动数量</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≥408场次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参加赛事活动人次</w:t>
            </w:r>
          </w:p>
        </w:tc>
        <w:tc>
          <w:tcPr>
            <w:tcW w:w="1745" w:type="dxa"/>
          </w:tcPr>
          <w:p>
            <w:pPr>
              <w:keepNext w:val="0"/>
              <w:keepLines w:val="0"/>
              <w:widowControl/>
              <w:suppressLineNumbers w:val="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w:t>
            </w:r>
            <w:r>
              <w:rPr>
                <w:rFonts w:hint="eastAsia" w:ascii="仿宋_GB2312" w:hAnsi="仿宋_GB2312" w:cs="仿宋_GB2312"/>
                <w:color w:val="auto"/>
                <w:kern w:val="0"/>
                <w:sz w:val="21"/>
                <w:szCs w:val="21"/>
                <w:lang w:val="en-US" w:eastAsia="zh-CN" w:bidi="ar"/>
              </w:rPr>
              <w:t>5464</w:t>
            </w:r>
            <w:r>
              <w:rPr>
                <w:rFonts w:hint="eastAsia" w:ascii="仿宋_GB2312" w:hAnsi="仿宋_GB2312" w:eastAsia="仿宋_GB2312" w:cs="仿宋_GB2312"/>
                <w:color w:val="auto"/>
                <w:kern w:val="0"/>
                <w:sz w:val="21"/>
                <w:szCs w:val="21"/>
                <w:lang w:val="en-US" w:eastAsia="zh-CN" w:bidi="ar"/>
              </w:rPr>
              <w:t>00</w:t>
            </w:r>
            <w:r>
              <w:rPr>
                <w:rFonts w:hint="eastAsia" w:ascii="仿宋_GB2312" w:hAnsi="仿宋_GB2312" w:cs="仿宋_GB2312"/>
                <w:color w:val="auto"/>
                <w:kern w:val="0"/>
                <w:sz w:val="21"/>
                <w:szCs w:val="21"/>
                <w:lang w:val="en-US" w:eastAsia="zh-CN" w:bidi="ar"/>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人才培养培训数量</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资助后备力量培养单位数量</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质量指标</w:t>
            </w: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场地设施竣工验收合格率</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设备验收合格率</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r>
              <w:rPr>
                <w:rFonts w:hint="eastAsia" w:ascii="仿宋_GB2312" w:hAnsi="仿宋_GB2312" w:cs="仿宋_GB2312"/>
                <w:color w:val="auto"/>
                <w:sz w:val="21"/>
                <w:szCs w:val="21"/>
                <w:vertAlign w:val="baseline"/>
                <w:lang w:val="en-US" w:eastAsia="zh-CN"/>
              </w:rPr>
              <w:t>5</w:t>
            </w:r>
            <w:r>
              <w:rPr>
                <w:rFonts w:hint="eastAsia" w:ascii="仿宋_GB2312" w:hAnsi="仿宋_GB2312" w:eastAsia="仿宋_GB2312" w:cs="仿宋_GB2312"/>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青训中心建设完成率</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cs="仿宋_GB2312"/>
                <w:color w:val="auto"/>
                <w:sz w:val="21"/>
                <w:szCs w:val="21"/>
                <w:vertAlign w:val="baseline"/>
                <w:lang w:val="en-US" w:eastAsia="zh-CN"/>
              </w:rPr>
              <w:t>8</w:t>
            </w:r>
            <w:r>
              <w:rPr>
                <w:rFonts w:hint="eastAsia" w:ascii="仿宋_GB2312" w:hAnsi="仿宋_GB2312" w:eastAsia="仿宋_GB2312" w:cs="仿宋_GB2312"/>
                <w:color w:val="auto"/>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赛事和活动任务完成率</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时效指标</w:t>
            </w: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赛事和活动任务完成及时率</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效益指标</w:t>
            </w:r>
          </w:p>
        </w:tc>
        <w:tc>
          <w:tcPr>
            <w:tcW w:w="151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社会效益指标</w:t>
            </w: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对群众体育可持续发展的影响程度</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vertAlign w:val="baseline"/>
                <w:lang w:val="en-US" w:eastAsia="zh-CN"/>
              </w:rPr>
              <w:t>9</w:t>
            </w:r>
            <w:r>
              <w:rPr>
                <w:rFonts w:hint="eastAsia" w:ascii="仿宋_GB2312" w:hAnsi="仿宋_GB2312" w:cs="仿宋_GB2312"/>
                <w:color w:val="auto"/>
                <w:sz w:val="21"/>
                <w:szCs w:val="21"/>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default"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对竞技体育可持续发展的影响程度</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15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对青少年体育可持续发展的影响程度</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shd w:val="clear" w:color="auto" w:fill="DEEBF6"/>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满意度指标</w:t>
            </w:r>
          </w:p>
        </w:tc>
        <w:tc>
          <w:tcPr>
            <w:tcW w:w="1513" w:type="dxa"/>
            <w:vAlign w:val="center"/>
          </w:tcPr>
          <w:p>
            <w:pPr>
              <w:keepNext w:val="0"/>
              <w:keepLines w:val="0"/>
              <w:widowControl/>
              <w:suppressLineNumbers w:val="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pacing w:val="-17"/>
                <w:kern w:val="0"/>
                <w:sz w:val="21"/>
                <w:szCs w:val="21"/>
                <w:lang w:val="en-US" w:eastAsia="zh-CN" w:bidi="ar"/>
              </w:rPr>
              <w:t>服务对象满意度</w:t>
            </w:r>
          </w:p>
        </w:tc>
        <w:tc>
          <w:tcPr>
            <w:tcW w:w="3682" w:type="dxa"/>
            <w:vAlign w:val="center"/>
          </w:tcPr>
          <w:p>
            <w:pPr>
              <w:keepNext w:val="0"/>
              <w:keepLines w:val="0"/>
              <w:widowControl/>
              <w:suppressLineNumbers w:val="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lang w:val="en-US" w:eastAsia="zh-CN" w:bidi="ar"/>
              </w:rPr>
              <w:t>服务对象满意度</w:t>
            </w:r>
          </w:p>
        </w:tc>
        <w:tc>
          <w:tcPr>
            <w:tcW w:w="17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vertAlign w:val="baseline"/>
                <w:lang w:val="en-US" w:eastAsia="zh-CN"/>
              </w:rPr>
              <w:t>9</w:t>
            </w:r>
            <w:r>
              <w:rPr>
                <w:rFonts w:hint="eastAsia" w:ascii="仿宋_GB2312" w:hAnsi="仿宋_GB2312" w:cs="仿宋_GB2312"/>
                <w:color w:val="auto"/>
                <w:sz w:val="21"/>
                <w:szCs w:val="21"/>
                <w:vertAlign w:val="baseli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640" w:firstLineChars="200"/>
        <w:textAlignment w:val="auto"/>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综合评价结论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snapToGrid w:val="0"/>
          <w:color w:val="auto"/>
          <w:kern w:val="0"/>
          <w:sz w:val="32"/>
          <w:szCs w:val="32"/>
        </w:rPr>
        <w:t>202</w:t>
      </w:r>
      <w:r>
        <w:rPr>
          <w:rFonts w:hint="eastAsia" w:ascii="仿宋_GB2312" w:hAnsi="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年，</w:t>
      </w:r>
      <w:r>
        <w:rPr>
          <w:rFonts w:hint="eastAsia" w:ascii="仿宋_GB2312" w:hAnsi="仿宋_GB2312" w:cs="仿宋_GB2312"/>
          <w:snapToGrid w:val="0"/>
          <w:color w:val="auto"/>
          <w:kern w:val="0"/>
          <w:sz w:val="32"/>
          <w:szCs w:val="32"/>
          <w:highlight w:val="none"/>
          <w:lang w:val="en-US" w:eastAsia="zh-CN"/>
        </w:rPr>
        <w:t>省体育局</w:t>
      </w:r>
      <w:r>
        <w:rPr>
          <w:rFonts w:hint="eastAsia" w:ascii="仿宋_GB2312" w:hAnsi="仿宋_GB2312" w:eastAsia="仿宋_GB2312" w:cs="仿宋_GB2312"/>
          <w:snapToGrid w:val="0"/>
          <w:color w:val="auto"/>
          <w:kern w:val="0"/>
          <w:sz w:val="32"/>
          <w:szCs w:val="32"/>
          <w:highlight w:val="none"/>
          <w:lang w:val="en-US" w:eastAsia="zh-CN"/>
        </w:rPr>
        <w:t>扎实推进预算和绩效管理一体化，加强和规范预算执行管理</w:t>
      </w:r>
      <w:r>
        <w:rPr>
          <w:rFonts w:hint="eastAsia" w:ascii="仿宋_GB2312" w:hAnsi="仿宋_GB2312" w:cs="仿宋_GB2312"/>
          <w:snapToGrid w:val="0"/>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该专项资金的区域整体绩效完成情况较好</w:t>
      </w:r>
      <w:r>
        <w:rPr>
          <w:rFonts w:hint="eastAsia" w:ascii="仿宋_GB2312" w:hAnsi="仿宋_GB2312" w:cs="仿宋_GB2312"/>
          <w:snapToGrid w:val="0"/>
          <w:color w:val="auto"/>
          <w:kern w:val="0"/>
          <w:sz w:val="32"/>
          <w:szCs w:val="32"/>
          <w:lang w:val="en-US" w:eastAsia="zh-CN"/>
        </w:rPr>
        <w:t>，</w:t>
      </w:r>
      <w:r>
        <w:rPr>
          <w:rFonts w:hint="eastAsia" w:ascii="仿宋_GB2312" w:hAnsi="仿宋_GB2312" w:eastAsia="仿宋_GB2312" w:cs="仿宋_GB2312"/>
          <w:color w:val="auto"/>
          <w:sz w:val="32"/>
          <w:szCs w:val="32"/>
          <w:highlight w:val="none"/>
          <w:lang w:val="en-US" w:eastAsia="zh-CN"/>
        </w:rPr>
        <w:t>丰富了体育供给，促进了我省群众体育</w:t>
      </w:r>
      <w:r>
        <w:rPr>
          <w:rFonts w:hint="eastAsia" w:ascii="仿宋_GB2312" w:hAnsi="仿宋_GB2312" w:cs="仿宋_GB2312"/>
          <w:color w:val="auto"/>
          <w:sz w:val="32"/>
          <w:szCs w:val="32"/>
          <w:highlight w:val="none"/>
          <w:lang w:val="en-US" w:eastAsia="zh-CN"/>
        </w:rPr>
        <w:t>、竞技体育</w:t>
      </w:r>
      <w:r>
        <w:rPr>
          <w:rFonts w:hint="eastAsia" w:ascii="仿宋_GB2312" w:hAnsi="仿宋_GB2312" w:eastAsia="仿宋_GB2312" w:cs="仿宋_GB2312"/>
          <w:color w:val="auto"/>
          <w:sz w:val="32"/>
          <w:szCs w:val="32"/>
          <w:highlight w:val="none"/>
          <w:lang w:val="en-US" w:eastAsia="zh-CN"/>
        </w:rPr>
        <w:t>、青少年体育发展</w:t>
      </w:r>
      <w:r>
        <w:rPr>
          <w:rFonts w:hint="eastAsia" w:ascii="仿宋_GB2312" w:hAnsi="仿宋_GB2312" w:eastAsia="仿宋_GB2312" w:cs="仿宋_GB2312"/>
          <w:snapToGrid w:val="0"/>
          <w:color w:val="auto"/>
          <w:kern w:val="0"/>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绩效</w:t>
      </w:r>
      <w:r>
        <w:rPr>
          <w:rFonts w:hint="eastAsia" w:ascii="仿宋_GB2312" w:hAnsi="仿宋_GB2312" w:eastAsia="仿宋_GB2312" w:cs="仿宋_GB2312"/>
          <w:color w:val="auto"/>
          <w:sz w:val="32"/>
          <w:szCs w:val="32"/>
          <w:highlight w:val="none"/>
        </w:rPr>
        <w:t>自评得分</w:t>
      </w:r>
      <w:r>
        <w:rPr>
          <w:rFonts w:hint="eastAsia" w:ascii="仿宋_GB2312" w:hAnsi="仿宋_GB2312" w:cs="仿宋_GB2312"/>
          <w:color w:val="auto"/>
          <w:sz w:val="32"/>
          <w:szCs w:val="32"/>
          <w:highlight w:val="none"/>
          <w:lang w:val="en-US" w:eastAsia="zh-CN"/>
        </w:rPr>
        <w:t>87.07</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自评等级为“</w:t>
      </w:r>
      <w:r>
        <w:rPr>
          <w:rFonts w:hint="eastAsia" w:ascii="仿宋_GB2312" w:hAnsi="仿宋_GB2312" w:cs="仿宋_GB2312"/>
          <w:color w:val="auto"/>
          <w:sz w:val="32"/>
          <w:szCs w:val="32"/>
          <w:highlight w:val="none"/>
          <w:lang w:val="en-US" w:eastAsia="zh-CN"/>
        </w:rPr>
        <w:t>较好</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（得分情况见表2-1）</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宋体"/>
          <w:color w:val="auto"/>
          <w:sz w:val="28"/>
          <w:szCs w:val="28"/>
          <w:lang w:val="en-US" w:eastAsia="zh-CN"/>
        </w:rPr>
      </w:pPr>
      <w:r>
        <w:rPr>
          <w:rFonts w:hint="eastAsia" w:ascii="黑体" w:hAnsi="黑体" w:eastAsia="黑体" w:cs="黑体"/>
          <w:color w:val="auto"/>
          <w:lang w:val="en-US" w:eastAsia="zh-CN"/>
        </w:rPr>
        <w:t xml:space="preserve">表2-1 </w:t>
      </w:r>
      <w:r>
        <w:rPr>
          <w:rFonts w:hint="eastAsia" w:ascii="黑体" w:hAnsi="黑体" w:eastAsia="黑体" w:cs="宋体"/>
          <w:color w:val="auto"/>
          <w:sz w:val="28"/>
          <w:szCs w:val="28"/>
          <w:lang w:val="en-US" w:eastAsia="zh-CN"/>
        </w:rPr>
        <w:t>“2023年度中央集彩公益金”得分情况表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21"/>
                <w:szCs w:val="21"/>
                <w:u w:val="none"/>
                <w:lang w:val="en-US" w:eastAsia="zh-CN" w:bidi="ar"/>
              </w:rPr>
              <w:t>内容</w:t>
            </w:r>
          </w:p>
        </w:tc>
        <w:tc>
          <w:tcPr>
            <w:tcW w:w="2130"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21"/>
                <w:szCs w:val="21"/>
                <w:u w:val="none"/>
                <w:lang w:val="en-US" w:eastAsia="zh-CN" w:bidi="ar"/>
              </w:rPr>
              <w:t>分值</w:t>
            </w:r>
          </w:p>
        </w:tc>
        <w:tc>
          <w:tcPr>
            <w:tcW w:w="2131"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21"/>
                <w:szCs w:val="21"/>
                <w:u w:val="none"/>
                <w:lang w:val="en-US" w:eastAsia="zh-CN" w:bidi="ar"/>
              </w:rPr>
              <w:t>得分</w:t>
            </w:r>
          </w:p>
        </w:tc>
        <w:tc>
          <w:tcPr>
            <w:tcW w:w="2131"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21"/>
                <w:szCs w:val="21"/>
                <w:u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default" w:ascii="仿宋_GB2312" w:hAnsi="仿宋_GB2312" w:eastAsia="仿宋_GB2312" w:cs="仿宋_GB2312"/>
                <w:b w:val="0"/>
                <w:bCs w:val="0"/>
                <w:i w:val="0"/>
                <w:iCs w:val="0"/>
                <w:color w:val="auto"/>
                <w:kern w:val="0"/>
                <w:sz w:val="21"/>
                <w:szCs w:val="21"/>
                <w:u w:val="none"/>
                <w:lang w:val="en-US" w:eastAsia="zh-CN" w:bidi="ar"/>
              </w:rPr>
              <w:t>资金投入情况</w:t>
            </w:r>
          </w:p>
        </w:tc>
        <w:tc>
          <w:tcPr>
            <w:tcW w:w="2130"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10</w:t>
            </w:r>
          </w:p>
        </w:tc>
        <w:tc>
          <w:tcPr>
            <w:tcW w:w="2131"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4.68</w:t>
            </w:r>
          </w:p>
        </w:tc>
        <w:tc>
          <w:tcPr>
            <w:tcW w:w="2131"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default" w:ascii="仿宋_GB2312" w:hAnsi="仿宋_GB2312" w:eastAsia="仿宋_GB2312" w:cs="仿宋_GB2312"/>
                <w:b w:val="0"/>
                <w:bCs w:val="0"/>
                <w:i w:val="0"/>
                <w:iCs w:val="0"/>
                <w:color w:val="auto"/>
                <w:kern w:val="0"/>
                <w:sz w:val="21"/>
                <w:szCs w:val="21"/>
                <w:u w:val="none"/>
                <w:lang w:val="en-US" w:eastAsia="zh-CN" w:bidi="ar"/>
              </w:rPr>
              <w:t>资金管理情况</w:t>
            </w:r>
          </w:p>
        </w:tc>
        <w:tc>
          <w:tcPr>
            <w:tcW w:w="2130"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40</w:t>
            </w:r>
          </w:p>
        </w:tc>
        <w:tc>
          <w:tcPr>
            <w:tcW w:w="2131"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40</w:t>
            </w:r>
          </w:p>
        </w:tc>
        <w:tc>
          <w:tcPr>
            <w:tcW w:w="2131"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default" w:ascii="仿宋_GB2312" w:hAnsi="仿宋_GB2312" w:eastAsia="仿宋_GB2312" w:cs="仿宋_GB2312"/>
                <w:b w:val="0"/>
                <w:bCs w:val="0"/>
                <w:i w:val="0"/>
                <w:iCs w:val="0"/>
                <w:color w:val="auto"/>
                <w:kern w:val="0"/>
                <w:sz w:val="21"/>
                <w:szCs w:val="21"/>
                <w:u w:val="none"/>
                <w:lang w:val="en-US" w:eastAsia="zh-CN" w:bidi="ar"/>
              </w:rPr>
              <w:t>绩效指标</w:t>
            </w:r>
            <w:r>
              <w:rPr>
                <w:rFonts w:hint="eastAsia" w:ascii="仿宋_GB2312" w:hAnsi="仿宋_GB2312" w:cs="仿宋_GB2312"/>
                <w:b w:val="0"/>
                <w:bCs w:val="0"/>
                <w:i w:val="0"/>
                <w:iCs w:val="0"/>
                <w:color w:val="auto"/>
                <w:kern w:val="0"/>
                <w:sz w:val="21"/>
                <w:szCs w:val="21"/>
                <w:u w:val="none"/>
                <w:lang w:val="en-US" w:eastAsia="zh-CN" w:bidi="ar"/>
              </w:rPr>
              <w:t>完成情况</w:t>
            </w:r>
          </w:p>
        </w:tc>
        <w:tc>
          <w:tcPr>
            <w:tcW w:w="2130"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50</w:t>
            </w:r>
          </w:p>
        </w:tc>
        <w:tc>
          <w:tcPr>
            <w:tcW w:w="2131"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42.39</w:t>
            </w:r>
          </w:p>
        </w:tc>
        <w:tc>
          <w:tcPr>
            <w:tcW w:w="2131" w:type="dxa"/>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cs="仿宋_GB2312"/>
                <w:b w:val="0"/>
                <w:bCs w:val="0"/>
                <w:i w:val="0"/>
                <w:iCs w:val="0"/>
                <w:color w:val="auto"/>
                <w:kern w:val="0"/>
                <w:sz w:val="21"/>
                <w:szCs w:val="21"/>
                <w:u w:val="none"/>
                <w:lang w:val="en-US" w:eastAsia="zh-CN" w:bidi="ar"/>
              </w:rPr>
              <w:t>84.78%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21"/>
                <w:szCs w:val="21"/>
                <w:u w:val="none"/>
                <w:lang w:val="en-US" w:eastAsia="zh-CN" w:bidi="ar"/>
              </w:rPr>
              <w:t>合计</w:t>
            </w:r>
          </w:p>
        </w:tc>
        <w:tc>
          <w:tcPr>
            <w:tcW w:w="2130"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cs="仿宋_GB2312"/>
                <w:b/>
                <w:bCs/>
                <w:i w:val="0"/>
                <w:iCs w:val="0"/>
                <w:color w:val="auto"/>
                <w:kern w:val="0"/>
                <w:sz w:val="21"/>
                <w:szCs w:val="21"/>
                <w:u w:val="none"/>
                <w:lang w:val="en-US" w:eastAsia="zh-CN" w:bidi="ar"/>
              </w:rPr>
              <w:t>100</w:t>
            </w:r>
          </w:p>
        </w:tc>
        <w:tc>
          <w:tcPr>
            <w:tcW w:w="2131"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cs="仿宋_GB2312"/>
                <w:b/>
                <w:bCs/>
                <w:i w:val="0"/>
                <w:iCs w:val="0"/>
                <w:color w:val="auto"/>
                <w:kern w:val="0"/>
                <w:sz w:val="21"/>
                <w:szCs w:val="21"/>
                <w:u w:val="none"/>
                <w:lang w:val="en-US" w:eastAsia="zh-CN" w:bidi="ar"/>
              </w:rPr>
              <w:t>87.07</w:t>
            </w:r>
          </w:p>
        </w:tc>
        <w:tc>
          <w:tcPr>
            <w:tcW w:w="2131" w:type="dxa"/>
            <w:shd w:val="clear" w:color="auto" w:fill="DCE6F2"/>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cs="仿宋_GB2312"/>
                <w:b/>
                <w:bCs/>
                <w:i w:val="0"/>
                <w:iCs w:val="0"/>
                <w:color w:val="auto"/>
                <w:kern w:val="0"/>
                <w:sz w:val="21"/>
                <w:szCs w:val="21"/>
                <w:u w:val="none"/>
                <w:lang w:val="en-US" w:eastAsia="zh-CN" w:bidi="ar"/>
              </w:rPr>
              <w:t>87.07%</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640" w:firstLineChars="200"/>
        <w:textAlignment w:val="auto"/>
        <w:outlineLvl w:val="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三、绩效</w:t>
      </w:r>
      <w:r>
        <w:rPr>
          <w:rFonts w:hint="eastAsia" w:ascii="黑体" w:hAnsi="黑体" w:eastAsia="黑体" w:cs="黑体"/>
          <w:bCs/>
          <w:color w:val="auto"/>
          <w:sz w:val="32"/>
          <w:szCs w:val="32"/>
          <w:highlight w:val="none"/>
        </w:rPr>
        <w:t>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2" w:firstLineChars="200"/>
        <w:textAlignment w:val="auto"/>
        <w:outlineLvl w:val="1"/>
        <w:rPr>
          <w:rFonts w:hint="eastAsia" w:ascii="仿宋" w:hAnsi="仿宋" w:eastAsia="仿宋" w:cs="黑体"/>
          <w:color w:val="auto"/>
          <w:sz w:val="32"/>
          <w:szCs w:val="32"/>
          <w:lang w:eastAsia="zh-CN"/>
        </w:rPr>
      </w:pPr>
      <w:r>
        <w:rPr>
          <w:rFonts w:hint="eastAsia" w:ascii="楷体_GB2312" w:hAnsi="楷体_GB2312" w:eastAsia="楷体_GB2312" w:cs="楷体_GB2312"/>
          <w:b/>
          <w:bCs/>
          <w:color w:val="auto"/>
          <w:sz w:val="32"/>
          <w:szCs w:val="32"/>
          <w:highlight w:val="none"/>
        </w:rPr>
        <w:t>（一）资金投入情况分析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下达资金共计</w:t>
      </w:r>
      <w:r>
        <w:rPr>
          <w:rFonts w:hint="eastAsia" w:ascii="仿宋_GB2312" w:hAnsi="仿宋_GB2312" w:cs="仿宋_GB2312"/>
          <w:color w:val="auto"/>
          <w:sz w:val="32"/>
          <w:szCs w:val="32"/>
          <w:lang w:val="en-US" w:eastAsia="zh-CN"/>
        </w:rPr>
        <w:t>7316</w:t>
      </w:r>
      <w:r>
        <w:rPr>
          <w:rFonts w:hint="eastAsia" w:ascii="仿宋_GB2312" w:hAnsi="仿宋_GB2312" w:eastAsia="仿宋_GB2312" w:cs="仿宋_GB2312"/>
          <w:color w:val="auto"/>
          <w:sz w:val="32"/>
          <w:szCs w:val="32"/>
          <w:lang w:val="en-US" w:eastAsia="zh-CN"/>
        </w:rPr>
        <w:t>万元，资金全部安排到位，到位率100%。</w:t>
      </w:r>
      <w:r>
        <w:rPr>
          <w:rFonts w:hint="eastAsia" w:ascii="仿宋_GB2312" w:hAnsi="仿宋_GB2312" w:eastAsia="仿宋_GB2312" w:cs="仿宋_GB2312"/>
          <w:color w:val="auto"/>
          <w:sz w:val="32"/>
          <w:szCs w:val="32"/>
          <w:highlight w:val="none"/>
        </w:rPr>
        <w:t>截至202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val="en-US" w:eastAsia="zh-CN"/>
        </w:rPr>
        <w:t>全年执行数</w:t>
      </w:r>
      <w:r>
        <w:rPr>
          <w:rFonts w:hint="eastAsia" w:ascii="仿宋_GB2312" w:hAnsi="仿宋_GB2312" w:cs="仿宋_GB2312"/>
          <w:color w:val="auto"/>
          <w:sz w:val="32"/>
          <w:szCs w:val="32"/>
          <w:highlight w:val="none"/>
          <w:lang w:val="en-US" w:eastAsia="zh-CN"/>
        </w:rPr>
        <w:t>3232.08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预算</w:t>
      </w:r>
      <w:r>
        <w:rPr>
          <w:rFonts w:hint="eastAsia" w:ascii="仿宋_GB2312" w:hAnsi="仿宋_GB2312" w:eastAsia="仿宋_GB2312" w:cs="仿宋_GB2312"/>
          <w:color w:val="auto"/>
          <w:sz w:val="32"/>
          <w:szCs w:val="32"/>
          <w:highlight w:val="none"/>
          <w:lang w:val="en-US" w:eastAsia="zh-CN"/>
        </w:rPr>
        <w:t>执行率为</w:t>
      </w:r>
      <w:r>
        <w:rPr>
          <w:rFonts w:hint="eastAsia" w:ascii="仿宋_GB2312" w:hAnsi="仿宋_GB2312" w:cs="仿宋_GB2312"/>
          <w:color w:val="auto"/>
          <w:sz w:val="32"/>
          <w:szCs w:val="32"/>
          <w:highlight w:val="none"/>
          <w:lang w:val="en-US" w:eastAsia="zh-CN"/>
        </w:rPr>
        <w:t>44.18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预算</w:t>
      </w:r>
      <w:r>
        <w:rPr>
          <w:rFonts w:hint="eastAsia" w:ascii="仿宋_GB2312" w:hAnsi="仿宋_GB2312" w:eastAsia="仿宋_GB2312" w:cs="仿宋_GB2312"/>
          <w:color w:val="auto"/>
          <w:sz w:val="32"/>
          <w:szCs w:val="32"/>
          <w:highlight w:val="none"/>
          <w:lang w:val="en-US" w:eastAsia="zh-CN"/>
        </w:rPr>
        <w:t>执行</w:t>
      </w:r>
      <w:r>
        <w:rPr>
          <w:rFonts w:hint="eastAsia" w:ascii="仿宋_GB2312" w:hAnsi="仿宋_GB2312" w:cs="仿宋_GB2312"/>
          <w:color w:val="auto"/>
          <w:sz w:val="32"/>
          <w:szCs w:val="32"/>
          <w:highlight w:val="none"/>
          <w:lang w:val="en-US" w:eastAsia="zh-CN"/>
        </w:rPr>
        <w:t>缓慢的主要原因：一是</w:t>
      </w:r>
      <w:r>
        <w:rPr>
          <w:rFonts w:hint="eastAsia" w:ascii="仿宋_GB2312" w:hAnsi="仿宋_GB2312" w:eastAsia="仿宋_GB2312" w:cs="仿宋_GB2312"/>
          <w:color w:val="auto"/>
          <w:sz w:val="32"/>
          <w:szCs w:val="32"/>
          <w:highlight w:val="none"/>
          <w:lang w:val="en-US" w:eastAsia="zh-CN"/>
        </w:rPr>
        <w:t>部分财政资金到位时间较晚，且再分配环节耗时较长，影响后续资金使用进程</w:t>
      </w:r>
      <w:r>
        <w:rPr>
          <w:rFonts w:hint="eastAsia" w:ascii="仿宋_GB2312" w:hAnsi="仿宋_GB2312" w:cs="仿宋_GB2312"/>
          <w:color w:val="auto"/>
          <w:sz w:val="32"/>
          <w:szCs w:val="32"/>
          <w:highlight w:val="none"/>
          <w:lang w:val="en-US" w:eastAsia="zh-CN"/>
        </w:rPr>
        <w:t>，导致预算执行率较低；二是部分项目启动时间晚或按要求暂缓举办赛事活动，影响支出进度。</w:t>
      </w:r>
    </w:p>
    <w:p>
      <w:pPr>
        <w:pStyle w:val="8"/>
        <w:keepNext w:val="0"/>
        <w:keepLines w:val="0"/>
        <w:pageBreakBefore w:val="0"/>
        <w:widowControl w:val="0"/>
        <w:kinsoku/>
        <w:wordWrap/>
        <w:overflowPunct/>
        <w:topLinePunct w:val="0"/>
        <w:autoSpaceDE/>
        <w:autoSpaceDN/>
        <w:bidi w:val="0"/>
        <w:adjustRightInd/>
        <w:snapToGrid/>
        <w:spacing w:afterLines="0"/>
        <w:textAlignment w:val="auto"/>
        <w:rPr>
          <w:rFonts w:hint="default"/>
          <w:color w:val="auto"/>
          <w:lang w:val="en-US" w:eastAsia="zh-CN"/>
        </w:rPr>
      </w:pPr>
      <w:r>
        <w:rPr>
          <w:rFonts w:hint="eastAsia" w:ascii="仿宋_GB2312" w:hAnsi="仿宋_GB2312" w:cs="仿宋_GB2312"/>
          <w:color w:val="auto"/>
          <w:sz w:val="32"/>
          <w:szCs w:val="32"/>
          <w:highlight w:val="none"/>
          <w:lang w:val="en-US" w:eastAsia="zh-CN"/>
        </w:rPr>
        <w:t>该指标分值10分，自评得分4.68分。</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642" w:firstLineChars="200"/>
        <w:textAlignment w:val="auto"/>
        <w:outlineLvl w:val="1"/>
        <w:rPr>
          <w:rFonts w:hint="eastAsia" w:ascii="仿宋" w:hAnsi="仿宋" w:eastAsia="仿宋" w:cs="黑体"/>
          <w:color w:val="auto"/>
          <w:sz w:val="32"/>
          <w:szCs w:val="32"/>
          <w:lang w:eastAsia="zh-CN"/>
        </w:rPr>
      </w:pPr>
      <w:r>
        <w:rPr>
          <w:rFonts w:hint="eastAsia" w:ascii="楷体_GB2312" w:hAnsi="楷体_GB2312" w:eastAsia="楷体_GB2312" w:cs="楷体_GB2312"/>
          <w:b/>
          <w:bCs/>
          <w:color w:val="auto"/>
          <w:sz w:val="32"/>
          <w:szCs w:val="32"/>
          <w:highlight w:val="none"/>
          <w:lang w:eastAsia="zh-CN"/>
        </w:rPr>
        <w:t>（二）资金管理情况分析</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rPr>
        <w:t>省体育</w:t>
      </w:r>
      <w:r>
        <w:rPr>
          <w:rFonts w:hint="eastAsia" w:ascii="仿宋_GB2312" w:hAnsi="仿宋_GB2312" w:eastAsia="仿宋_GB2312" w:cs="仿宋_GB2312"/>
          <w:color w:val="auto"/>
          <w:sz w:val="32"/>
          <w:szCs w:val="32"/>
          <w:highlight w:val="none"/>
          <w:lang w:val="en-US" w:eastAsia="zh-CN"/>
        </w:rPr>
        <w:t>局按要求及时分配下达中央补助资金，按照项目因素法分配</w:t>
      </w:r>
      <w:r>
        <w:rPr>
          <w:rFonts w:hint="eastAsia" w:ascii="仿宋_GB2312" w:hAnsi="仿宋_GB2312" w:eastAsia="仿宋_GB2312" w:cs="仿宋_GB2312"/>
          <w:snapToGrid w:val="0"/>
          <w:color w:val="auto"/>
          <w:kern w:val="0"/>
          <w:sz w:val="32"/>
          <w:szCs w:val="32"/>
          <w:lang w:val="en-US" w:eastAsia="zh-CN"/>
        </w:rPr>
        <w:t>资金</w:t>
      </w:r>
      <w:r>
        <w:rPr>
          <w:rFonts w:hint="eastAsia" w:ascii="仿宋_GB2312" w:hAnsi="仿宋_GB2312" w:cs="仿宋_GB2312"/>
          <w:snapToGrid w:val="0"/>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highlight w:val="none"/>
          <w:lang w:val="en-US" w:eastAsia="zh-CN"/>
        </w:rPr>
        <w:t>资金已于202</w:t>
      </w:r>
      <w:r>
        <w:rPr>
          <w:rFonts w:hint="eastAsia" w:ascii="仿宋_GB2312" w:hAnsi="仿宋_GB2312" w:cs="仿宋_GB2312"/>
          <w:snapToGrid w:val="0"/>
          <w:color w:val="auto"/>
          <w:kern w:val="0"/>
          <w:sz w:val="32"/>
          <w:szCs w:val="32"/>
          <w:highlight w:val="none"/>
          <w:lang w:val="en-US" w:eastAsia="zh-CN"/>
        </w:rPr>
        <w:t>2</w:t>
      </w:r>
      <w:r>
        <w:rPr>
          <w:rFonts w:hint="eastAsia" w:ascii="仿宋_GB2312" w:hAnsi="仿宋_GB2312" w:eastAsia="仿宋_GB2312" w:cs="仿宋_GB2312"/>
          <w:snapToGrid w:val="0"/>
          <w:color w:val="auto"/>
          <w:kern w:val="0"/>
          <w:sz w:val="32"/>
          <w:szCs w:val="32"/>
          <w:highlight w:val="none"/>
          <w:lang w:val="en-US" w:eastAsia="zh-CN"/>
        </w:rPr>
        <w:t>年12月</w:t>
      </w:r>
      <w:r>
        <w:rPr>
          <w:rFonts w:hint="eastAsia" w:ascii="仿宋_GB2312" w:hAnsi="仿宋_GB2312" w:cs="仿宋_GB2312"/>
          <w:snapToGrid w:val="0"/>
          <w:color w:val="auto"/>
          <w:kern w:val="0"/>
          <w:sz w:val="32"/>
          <w:szCs w:val="32"/>
          <w:highlight w:val="none"/>
          <w:lang w:val="en-US" w:eastAsia="zh-CN"/>
        </w:rPr>
        <w:t>1日、</w:t>
      </w:r>
      <w:r>
        <w:rPr>
          <w:rFonts w:hint="eastAsia" w:ascii="仿宋_GB2312" w:hAnsi="仿宋_GB2312" w:eastAsia="仿宋_GB2312" w:cs="仿宋_GB2312"/>
          <w:snapToGrid w:val="0"/>
          <w:color w:val="auto"/>
          <w:kern w:val="0"/>
          <w:sz w:val="32"/>
          <w:szCs w:val="32"/>
          <w:highlight w:val="none"/>
          <w:lang w:val="en-US" w:eastAsia="zh-CN"/>
        </w:rPr>
        <w:t>202</w:t>
      </w:r>
      <w:r>
        <w:rPr>
          <w:rFonts w:hint="eastAsia" w:ascii="仿宋_GB2312" w:hAnsi="仿宋_GB2312" w:cs="仿宋_GB2312"/>
          <w:snapToGrid w:val="0"/>
          <w:color w:val="auto"/>
          <w:kern w:val="0"/>
          <w:sz w:val="32"/>
          <w:szCs w:val="32"/>
          <w:highlight w:val="none"/>
          <w:lang w:val="en-US" w:eastAsia="zh-CN"/>
        </w:rPr>
        <w:t>3</w:t>
      </w:r>
      <w:r>
        <w:rPr>
          <w:rFonts w:hint="eastAsia" w:ascii="仿宋_GB2312" w:hAnsi="仿宋_GB2312" w:eastAsia="仿宋_GB2312" w:cs="仿宋_GB2312"/>
          <w:snapToGrid w:val="0"/>
          <w:color w:val="auto"/>
          <w:kern w:val="0"/>
          <w:sz w:val="32"/>
          <w:szCs w:val="32"/>
          <w:highlight w:val="none"/>
          <w:lang w:val="en-US" w:eastAsia="zh-CN"/>
        </w:rPr>
        <w:t>年</w:t>
      </w:r>
      <w:r>
        <w:rPr>
          <w:rFonts w:hint="eastAsia" w:ascii="仿宋_GB2312" w:hAnsi="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lang w:val="en-US" w:eastAsia="zh-CN"/>
        </w:rPr>
        <w:t>月</w:t>
      </w:r>
      <w:r>
        <w:rPr>
          <w:rFonts w:hint="eastAsia" w:ascii="仿宋_GB2312" w:hAnsi="仿宋_GB2312" w:cs="仿宋_GB2312"/>
          <w:snapToGrid w:val="0"/>
          <w:color w:val="auto"/>
          <w:kern w:val="0"/>
          <w:sz w:val="32"/>
          <w:szCs w:val="32"/>
          <w:highlight w:val="none"/>
          <w:lang w:val="en-US" w:eastAsia="zh-CN"/>
        </w:rPr>
        <w:t>28日</w:t>
      </w:r>
      <w:r>
        <w:rPr>
          <w:rFonts w:hint="eastAsia" w:ascii="仿宋_GB2312" w:hAnsi="仿宋_GB2312" w:eastAsia="仿宋_GB2312" w:cs="仿宋_GB2312"/>
          <w:snapToGrid w:val="0"/>
          <w:color w:val="auto"/>
          <w:kern w:val="0"/>
          <w:sz w:val="32"/>
          <w:szCs w:val="32"/>
          <w:highlight w:val="none"/>
          <w:lang w:val="en-US" w:eastAsia="zh-CN"/>
        </w:rPr>
        <w:t>和202</w:t>
      </w:r>
      <w:r>
        <w:rPr>
          <w:rFonts w:hint="eastAsia" w:ascii="仿宋_GB2312" w:hAnsi="仿宋_GB2312" w:cs="仿宋_GB2312"/>
          <w:snapToGrid w:val="0"/>
          <w:color w:val="auto"/>
          <w:kern w:val="0"/>
          <w:sz w:val="32"/>
          <w:szCs w:val="32"/>
          <w:highlight w:val="none"/>
          <w:lang w:val="en-US" w:eastAsia="zh-CN"/>
        </w:rPr>
        <w:t>3</w:t>
      </w:r>
      <w:r>
        <w:rPr>
          <w:rFonts w:hint="eastAsia" w:ascii="仿宋_GB2312" w:hAnsi="仿宋_GB2312" w:eastAsia="仿宋_GB2312" w:cs="仿宋_GB2312"/>
          <w:snapToGrid w:val="0"/>
          <w:color w:val="auto"/>
          <w:kern w:val="0"/>
          <w:sz w:val="32"/>
          <w:szCs w:val="32"/>
          <w:highlight w:val="none"/>
          <w:lang w:val="en-US" w:eastAsia="zh-CN"/>
        </w:rPr>
        <w:t>年</w:t>
      </w:r>
      <w:r>
        <w:rPr>
          <w:rFonts w:hint="eastAsia" w:ascii="仿宋_GB2312" w:hAnsi="仿宋_GB2312" w:cs="仿宋_GB2312"/>
          <w:snapToGrid w:val="0"/>
          <w:color w:val="auto"/>
          <w:kern w:val="0"/>
          <w:sz w:val="32"/>
          <w:szCs w:val="32"/>
          <w:highlight w:val="none"/>
          <w:lang w:val="en-US" w:eastAsia="zh-CN"/>
        </w:rPr>
        <w:t>9</w:t>
      </w:r>
      <w:r>
        <w:rPr>
          <w:rFonts w:hint="eastAsia" w:ascii="仿宋_GB2312" w:hAnsi="仿宋_GB2312" w:eastAsia="仿宋_GB2312" w:cs="仿宋_GB2312"/>
          <w:snapToGrid w:val="0"/>
          <w:color w:val="auto"/>
          <w:kern w:val="0"/>
          <w:sz w:val="32"/>
          <w:szCs w:val="32"/>
          <w:highlight w:val="none"/>
          <w:lang w:val="en-US" w:eastAsia="zh-CN"/>
        </w:rPr>
        <w:t>月</w:t>
      </w:r>
      <w:r>
        <w:rPr>
          <w:rFonts w:hint="eastAsia" w:ascii="仿宋_GB2312" w:hAnsi="仿宋_GB2312" w:cs="仿宋_GB2312"/>
          <w:snapToGrid w:val="0"/>
          <w:color w:val="auto"/>
          <w:kern w:val="0"/>
          <w:sz w:val="32"/>
          <w:szCs w:val="32"/>
          <w:highlight w:val="none"/>
          <w:lang w:val="en-US" w:eastAsia="zh-CN"/>
        </w:rPr>
        <w:t>29日</w:t>
      </w:r>
      <w:r>
        <w:rPr>
          <w:rFonts w:hint="eastAsia" w:ascii="仿宋_GB2312" w:hAnsi="仿宋_GB2312" w:eastAsia="仿宋_GB2312" w:cs="仿宋_GB2312"/>
          <w:snapToGrid w:val="0"/>
          <w:color w:val="auto"/>
          <w:kern w:val="0"/>
          <w:sz w:val="32"/>
          <w:szCs w:val="32"/>
          <w:highlight w:val="none"/>
          <w:lang w:val="en-US" w:eastAsia="zh-CN"/>
        </w:rPr>
        <w:t>下达至有关单位</w:t>
      </w:r>
      <w:r>
        <w:rPr>
          <w:rFonts w:hint="eastAsia" w:ascii="仿宋_GB2312" w:hAnsi="仿宋_GB2312" w:cs="仿宋_GB2312"/>
          <w:snapToGrid w:val="0"/>
          <w:color w:val="auto"/>
          <w:kern w:val="0"/>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同时下达该专项资金任务清单及绩效目标</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snapToGrid w:val="0"/>
          <w:color w:val="auto"/>
          <w:kern w:val="0"/>
          <w:sz w:val="32"/>
          <w:szCs w:val="32"/>
          <w:highlight w:val="none"/>
          <w:lang w:val="en-US" w:eastAsia="zh-CN"/>
        </w:rPr>
        <w:t>严格按照《</w:t>
      </w:r>
      <w:r>
        <w:rPr>
          <w:rFonts w:hint="eastAsia" w:ascii="仿宋_GB2312" w:hAnsi="仿宋_GB2312" w:cs="仿宋_GB2312"/>
          <w:snapToGrid w:val="0"/>
          <w:color w:val="auto"/>
          <w:kern w:val="0"/>
          <w:sz w:val="32"/>
          <w:szCs w:val="32"/>
          <w:highlight w:val="none"/>
          <w:lang w:val="en-US" w:eastAsia="zh-CN"/>
        </w:rPr>
        <w:t>关于印发</w:t>
      </w:r>
      <w:r>
        <w:rPr>
          <w:rFonts w:hint="eastAsia" w:ascii="仿宋_GB2312" w:hAnsi="仿宋_GB2312" w:eastAsia="仿宋_GB2312" w:cs="仿宋_GB2312"/>
          <w:snapToGrid w:val="0"/>
          <w:color w:val="auto"/>
          <w:kern w:val="0"/>
          <w:sz w:val="32"/>
          <w:szCs w:val="32"/>
          <w:highlight w:val="none"/>
          <w:lang w:val="en-US" w:eastAsia="zh-CN"/>
        </w:rPr>
        <w:t>＜中央集中彩票公益金支持体育事业专项资金管理办法＞</w:t>
      </w:r>
      <w:r>
        <w:rPr>
          <w:rFonts w:hint="eastAsia" w:ascii="仿宋_GB2312" w:hAnsi="仿宋_GB2312" w:cs="仿宋_GB2312"/>
          <w:snapToGrid w:val="0"/>
          <w:color w:val="auto"/>
          <w:kern w:val="0"/>
          <w:sz w:val="32"/>
          <w:szCs w:val="32"/>
          <w:highlight w:val="none"/>
          <w:lang w:val="en-US" w:eastAsia="zh-CN"/>
        </w:rPr>
        <w:t>的通知</w:t>
      </w:r>
      <w:r>
        <w:rPr>
          <w:rFonts w:hint="eastAsia" w:ascii="仿宋_GB2312" w:hAnsi="仿宋_GB2312" w:eastAsia="仿宋_GB2312" w:cs="仿宋_GB2312"/>
          <w:snapToGrid w:val="0"/>
          <w:color w:val="auto"/>
          <w:kern w:val="0"/>
          <w:sz w:val="32"/>
          <w:szCs w:val="32"/>
          <w:highlight w:val="none"/>
          <w:lang w:val="en-US" w:eastAsia="zh-CN"/>
        </w:rPr>
        <w:t>》（财教〔2020〕69号）</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cs="仿宋_GB2312"/>
          <w:color w:val="auto"/>
          <w:sz w:val="32"/>
          <w:szCs w:val="32"/>
          <w:highlight w:val="none"/>
          <w:lang w:val="en-US" w:eastAsia="zh-CN"/>
        </w:rPr>
        <w:t>使用资金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snapToGrid w:val="0"/>
          <w:color w:val="auto"/>
          <w:kern w:val="0"/>
          <w:sz w:val="32"/>
          <w:szCs w:val="32"/>
          <w:highlight w:val="none"/>
          <w:lang w:val="en-US" w:eastAsia="zh-CN"/>
        </w:rPr>
        <w:t>结合“过紧日子”的要求，科学管理使用专项资金。</w:t>
      </w:r>
      <w:r>
        <w:rPr>
          <w:rFonts w:hint="eastAsia" w:ascii="仿宋_GB2312" w:hAnsi="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lang w:val="en-US" w:eastAsia="zh-CN"/>
        </w:rPr>
        <w:t>出现违规将资金从国库转入财政专户或支付到预算单位实有资金账户等问题</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color w:val="auto"/>
        </w:rPr>
      </w:pPr>
      <w:r>
        <w:rPr>
          <w:rFonts w:hint="eastAsia" w:ascii="仿宋_GB2312" w:hAnsi="仿宋_GB2312" w:cs="仿宋_GB2312"/>
          <w:snapToGrid w:val="0"/>
          <w:color w:val="auto"/>
          <w:kern w:val="0"/>
          <w:sz w:val="32"/>
          <w:szCs w:val="32"/>
          <w:highlight w:val="none"/>
          <w:lang w:val="en-US" w:eastAsia="zh-CN"/>
        </w:rPr>
        <w:t>省体育局严格按照下达预算的科目和项目执行，</w:t>
      </w:r>
      <w:r>
        <w:rPr>
          <w:rFonts w:hint="eastAsia" w:ascii="仿宋_GB2312" w:hAnsi="仿宋_GB2312" w:eastAsia="仿宋_GB2312" w:cs="仿宋_GB2312"/>
          <w:color w:val="auto"/>
          <w:sz w:val="32"/>
          <w:szCs w:val="32"/>
          <w:highlight w:val="none"/>
          <w:lang w:val="en-US" w:eastAsia="zh-CN"/>
        </w:rPr>
        <w:t>牢固树立过紧日子的思想，充分认识加强预算执行工作的严肃性和重要性，在确保各项支出依法、合规、有效的前提下，</w:t>
      </w:r>
      <w:r>
        <w:rPr>
          <w:rFonts w:ascii="仿宋_GB2312" w:hAnsi="宋体" w:eastAsia="仿宋_GB2312" w:cs="仿宋_GB2312"/>
          <w:color w:val="auto"/>
          <w:kern w:val="0"/>
          <w:sz w:val="31"/>
          <w:szCs w:val="31"/>
          <w:lang w:val="en-US" w:eastAsia="zh-CN" w:bidi="ar"/>
        </w:rPr>
        <w:t>落实责任措施，强化协作配合</w:t>
      </w:r>
      <w:r>
        <w:rPr>
          <w:rFonts w:hint="eastAsia" w:ascii="仿宋_GB2312" w:hAnsi="宋体" w:cs="仿宋_GB2312"/>
          <w:color w:val="auto"/>
          <w:kern w:val="0"/>
          <w:sz w:val="31"/>
          <w:szCs w:val="31"/>
          <w:lang w:val="en-US" w:eastAsia="zh-CN" w:bidi="ar"/>
        </w:rPr>
        <w:t>，</w:t>
      </w:r>
      <w:r>
        <w:rPr>
          <w:rFonts w:hint="eastAsia" w:ascii="仿宋_GB2312" w:hAnsi="仿宋_GB2312" w:eastAsia="仿宋_GB2312" w:cs="仿宋_GB2312"/>
          <w:snapToGrid w:val="0"/>
          <w:color w:val="auto"/>
          <w:kern w:val="0"/>
          <w:sz w:val="32"/>
          <w:szCs w:val="32"/>
          <w:lang w:val="en-US" w:eastAsia="zh-CN"/>
        </w:rPr>
        <w:t>加快预算执行支出进度</w:t>
      </w:r>
      <w:r>
        <w:rPr>
          <w:rFonts w:hint="eastAsia" w:ascii="仿宋_GB2312" w:hAnsi="仿宋_GB2312" w:cs="仿宋_GB2312"/>
          <w:color w:val="auto"/>
          <w:sz w:val="32"/>
          <w:szCs w:val="32"/>
          <w:highlight w:val="none"/>
          <w:lang w:val="en-US" w:eastAsia="zh-CN"/>
        </w:rPr>
        <w:t>。</w:t>
      </w:r>
      <w:r>
        <w:rPr>
          <w:rFonts w:ascii="仿宋_GB2312" w:hAnsi="宋体" w:eastAsia="仿宋_GB2312" w:cs="仿宋_GB2312"/>
          <w:color w:val="auto"/>
          <w:kern w:val="0"/>
          <w:sz w:val="31"/>
          <w:szCs w:val="31"/>
          <w:lang w:val="en-US" w:eastAsia="zh-CN" w:bidi="ar"/>
        </w:rPr>
        <w:t>严格资金使用管理，规范项目组织实施，落</w:t>
      </w:r>
      <w:r>
        <w:rPr>
          <w:rFonts w:hint="eastAsia" w:ascii="仿宋_GB2312" w:hAnsi="宋体" w:eastAsia="仿宋_GB2312" w:cs="仿宋_GB2312"/>
          <w:color w:val="auto"/>
          <w:kern w:val="0"/>
          <w:sz w:val="31"/>
          <w:szCs w:val="31"/>
          <w:lang w:val="en-US" w:eastAsia="zh-CN" w:bidi="ar"/>
        </w:rPr>
        <w:t>实政策执行和资金项目的全过程全环节监管、动态跟踪问效和全面绩效管理等措施，强化政策信息公开透明，主动接受检查监督，保证政策落到实处、任务全面完成、项目见行见效、资金安全高效。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省体育局对转移支付资金的预算执行情况和绩效目标实现程度实行“双监控”，结合日常业务工作，</w:t>
      </w:r>
      <w:r>
        <w:rPr>
          <w:rFonts w:hint="eastAsia" w:ascii="仿宋_GB2312" w:hAnsi="仿宋_GB2312" w:eastAsia="仿宋_GB2312" w:cs="仿宋_GB2312"/>
          <w:color w:val="auto"/>
          <w:sz w:val="32"/>
          <w:szCs w:val="32"/>
          <w:highlight w:val="none"/>
          <w:lang w:val="en-US" w:eastAsia="zh-CN"/>
        </w:rPr>
        <w:t>密切跟踪专项资金转移支付部分的执行情况。</w:t>
      </w:r>
      <w:r>
        <w:rPr>
          <w:rFonts w:hint="eastAsia" w:ascii="仿宋_GB2312" w:hAnsi="仿宋_GB2312" w:cs="仿宋_GB2312"/>
          <w:snapToGrid w:val="0"/>
          <w:color w:val="auto"/>
          <w:kern w:val="0"/>
          <w:sz w:val="32"/>
          <w:szCs w:val="32"/>
          <w:highlight w:val="none"/>
          <w:lang w:val="en-US" w:eastAsia="zh-CN"/>
        </w:rPr>
        <w:t>要求各市县保障项目规范有序开展，资金按工作进度及时拨付，保证预算执行进度效率，</w:t>
      </w:r>
      <w:r>
        <w:rPr>
          <w:rFonts w:hint="eastAsia" w:ascii="仿宋_GB2312" w:hAnsi="仿宋_GB2312" w:eastAsia="仿宋_GB2312" w:cs="仿宋_GB2312"/>
          <w:snapToGrid w:val="0"/>
          <w:color w:val="auto"/>
          <w:kern w:val="0"/>
          <w:sz w:val="32"/>
          <w:szCs w:val="32"/>
          <w:highlight w:val="none"/>
          <w:lang w:val="en-US" w:eastAsia="zh-CN"/>
        </w:rPr>
        <w:t>不断提高专项资金使用效益。</w:t>
      </w:r>
      <w:r>
        <w:rPr>
          <w:rFonts w:hint="eastAsia" w:ascii="仿宋_GB2312" w:hAnsi="仿宋_GB2312" w:cs="仿宋_GB2312"/>
          <w:color w:val="auto"/>
          <w:sz w:val="32"/>
          <w:szCs w:val="32"/>
          <w:highlight w:val="none"/>
          <w:lang w:val="en-US" w:eastAsia="zh-CN"/>
        </w:rPr>
        <w:t>资金全部用于完成“</w:t>
      </w:r>
      <w:r>
        <w:rPr>
          <w:rFonts w:hint="eastAsia" w:ascii="仿宋_GB2312" w:hAnsi="仿宋_GB2312" w:eastAsia="仿宋_GB2312" w:cs="仿宋_GB2312"/>
          <w:color w:val="auto"/>
          <w:sz w:val="32"/>
          <w:szCs w:val="32"/>
          <w:highlight w:val="none"/>
          <w:lang w:val="en-US" w:eastAsia="zh-CN"/>
        </w:rPr>
        <w:t>2023年度中央集彩公益金</w:t>
      </w:r>
      <w:r>
        <w:rPr>
          <w:rFonts w:hint="eastAsia" w:ascii="仿宋_GB2312" w:hAnsi="仿宋_GB2312" w:cs="仿宋_GB2312"/>
          <w:color w:val="auto"/>
          <w:sz w:val="32"/>
          <w:szCs w:val="32"/>
          <w:highlight w:val="none"/>
          <w:lang w:val="en-US" w:eastAsia="zh-CN"/>
        </w:rPr>
        <w:t>”下达的任务和目标，资金使用符合规定。</w:t>
      </w:r>
    </w:p>
    <w:p>
      <w:pPr>
        <w:pStyle w:val="8"/>
        <w:rPr>
          <w:rFonts w:hint="default"/>
          <w:color w:val="auto"/>
          <w:lang w:val="en-US" w:eastAsia="zh-CN"/>
        </w:rPr>
      </w:pPr>
      <w:r>
        <w:rPr>
          <w:rFonts w:hint="eastAsia" w:ascii="仿宋_GB2312" w:hAnsi="仿宋_GB2312" w:cs="仿宋_GB2312"/>
          <w:color w:val="auto"/>
          <w:sz w:val="32"/>
          <w:szCs w:val="32"/>
          <w:highlight w:val="none"/>
          <w:lang w:val="en-US" w:eastAsia="zh-CN"/>
        </w:rPr>
        <w:t>该指标分值40分，自评得分40分。</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1"/>
        <w:rPr>
          <w:rFonts w:hint="eastAsia" w:ascii="仿宋" w:hAnsi="仿宋" w:eastAsia="仿宋" w:cs="黑体"/>
          <w:color w:val="auto"/>
          <w:sz w:val="32"/>
          <w:szCs w:val="32"/>
          <w:lang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省体育局</w:t>
      </w:r>
      <w:r>
        <w:rPr>
          <w:rFonts w:hint="eastAsia" w:ascii="仿宋_GB2312" w:hAnsi="仿宋_GB2312" w:eastAsia="仿宋_GB2312" w:cs="仿宋_GB2312"/>
          <w:color w:val="auto"/>
          <w:sz w:val="32"/>
          <w:szCs w:val="32"/>
          <w:highlight w:val="none"/>
          <w:lang w:val="en-US" w:eastAsia="zh-CN"/>
        </w:rPr>
        <w:t>对照</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2023年度中央集彩公益金</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总体目标，</w:t>
      </w:r>
      <w:r>
        <w:rPr>
          <w:rFonts w:hint="eastAsia" w:ascii="仿宋_GB2312" w:hAnsi="仿宋_GB2312" w:cs="仿宋_GB2312"/>
          <w:color w:val="auto"/>
          <w:sz w:val="32"/>
          <w:szCs w:val="32"/>
          <w:highlight w:val="none"/>
          <w:lang w:val="en-US" w:eastAsia="zh-CN"/>
        </w:rPr>
        <w:t>经统计分析全年实际完成情况，2023年度的各项总体目标</w:t>
      </w:r>
      <w:r>
        <w:rPr>
          <w:rFonts w:hint="eastAsia" w:ascii="仿宋_GB2312" w:hAnsi="仿宋_GB2312" w:eastAsia="仿宋_GB2312" w:cs="仿宋_GB2312"/>
          <w:snapToGrid w:val="0"/>
          <w:color w:val="auto"/>
          <w:kern w:val="0"/>
          <w:sz w:val="32"/>
          <w:szCs w:val="32"/>
          <w:highlight w:val="none"/>
          <w:lang w:val="en-US" w:eastAsia="zh-CN"/>
        </w:rPr>
        <w:t>完成情况较好</w:t>
      </w:r>
      <w:r>
        <w:rPr>
          <w:rFonts w:hint="eastAsia" w:ascii="仿宋_GB2312" w:hAnsi="仿宋_GB2312" w:cs="仿宋_GB2312"/>
          <w:color w:val="auto"/>
          <w:sz w:val="32"/>
          <w:szCs w:val="32"/>
          <w:highlight w:val="none"/>
          <w:lang w:val="en-US" w:eastAsia="zh-CN"/>
        </w:rPr>
        <w:t>，总体目标完成情况如下：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群众体育方面：建设全民健身场地设施数量14个，其中支持广东省奥林匹克体育中心配置智能化设施设备的小型体育公园1个，支持惠州市国球进社区、进公园13个。举办全民健身赛事活动共358场次，参与人数47285人次；其中：在汕头市、韶关市等15个地市，举办2023年社区运动会活动332场次、参与人数39368人次（含线上线下）；在佛山市本级，韶关市乳源瑶族自治县等6个省直管县开展全民健身主题系列活动26场次、参加人数7917人次。在广州市开展万村女性社会体育指导员培训，全省186个行政村、210名女性典型参加培训；通过培训，培养、发展了一批广东农村基层女性体育骨干，提升了农村地区人民参与全民健身的热情，加强了女性社会体育指导员人才队伍建设。在粤东西北地区开展全民健身志愿服务15场，通过开展志愿服务活动送健身技能、体育用品，并派发科学健身手册，丰富了群众的体育生活，宣传了科学健身理念，弘扬了社会体育指导员志愿服务精神。在广州市举办国家级社会体育指导员培训，来自全省各地基层社会体育指导员骨干150人参加；通过培训，将进一步扩大了社会体育指导员骨干队伍，丰富理论知识，提高技能水平，通过学习与实践的积累，为群众提供更为科学、优质、周到、便捷的健身指导和服务。在粤东西北地区，举办国家体育锻炼标准达标活动80场，参加人数10000人次；更好检测当地群众的锻炼效果和运动技能，鼓励更多群众通过锻炼达到并不断超越标准，提高自身体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（2）青少年体育方面：2023年广东省体育局和广州市等14个地市举办青少年体育活</w:t>
      </w:r>
      <w:r>
        <w:rPr>
          <w:rFonts w:hint="eastAsia" w:ascii="仿宋_GB2312" w:hAnsi="仿宋_GB2312" w:cs="仿宋_GB2312"/>
          <w:color w:val="auto"/>
          <w:sz w:val="32"/>
          <w:szCs w:val="32"/>
          <w:highlight w:val="none"/>
          <w:lang w:val="en-US" w:eastAsia="zh-CN"/>
        </w:rPr>
        <w:t>动共280场次，参加人数约158万人次（含线上线下）。举办U系列赛事3场，</w:t>
      </w:r>
      <w:r>
        <w:rPr>
          <w:rFonts w:hint="eastAsia" w:ascii="仿宋_GB2312" w:hAnsi="仿宋_GB2312" w:cs="仿宋_GB2312"/>
          <w:color w:val="auto"/>
          <w:sz w:val="32"/>
          <w:szCs w:val="32"/>
          <w:highlight w:val="none"/>
          <w:lang w:val="en-US" w:eastAsia="zh-CN"/>
        </w:rPr>
        <w:t>参加人数有2242人次。赛风赛纪和反兴奋剂覆盖青少年超10万人。广东省奥林匹克体育中心、肇庆市和揭阳市积极推进“青少年体育训练中心”的建设，肇庆市、揭阳市青训中心对社会开放时长不低于500小时，广东省奥林匹克体育中心项目于年底才完成竣工，还未正式对群众开放使用。资助梅州市第二批足球发展重点城市，2023年暂未完成工作任务，2024年加强项目管理，加快项目进度，争取加快支付进度，完成第二批足球发展重点城市资助任务。广州市重点项目布局（篮球），培养篮球后备人才不少于60人；广州市重点项目布局（体操），培养体操后备人才不少于30人；湛江市重点项目布局（跳水），培养跳水后备人才33名；江门市重点项目布局（排球），培养排球后备人才157人；东莞市重点项目布局（篮球），培养篮球后备人才214人；东莞市重点项目布局（举重），计划在2024年支付相关费用，培养举重后备人才43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竞技体育方面：清远市：支持国家“体育泡泡”训练基地建设1个，完成泡泡训练基地所必需的球员宿舍配套、购置体育设施及器材、园区泡泡隔离围蔽、应急用房建设等硬件改造和设施设备添置等工作。为国家、省队出访归来和境外团队来华，提供免隔离闭环泡泡优质服务保障。江门市：已完成排球训练基地建设器材采购招标工作，江门体育中心中国排球协会排球训练基地建设资金建设运营单位与中标单位签订《江门体育中心中国排球协会排球训练基地建设项目合同》，后续按照合同约定及资金到位情况支付供应商相关款项，提高江门市国家排球训练基地建设水平。</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1"/>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）绩效指标完成情况分析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outlineLvl w:val="9"/>
        <w:rPr>
          <w:rFonts w:hint="eastAsia" w:ascii="楷体_GB2312" w:hAnsi="楷体_GB2312" w:eastAsia="楷体_GB2312" w:cs="楷体_GB2312"/>
          <w:b/>
          <w:bCs/>
          <w:color w:val="auto"/>
          <w:sz w:val="32"/>
          <w:szCs w:val="32"/>
        </w:rPr>
      </w:pPr>
      <w:r>
        <w:rPr>
          <w:rFonts w:hint="eastAsia" w:ascii="仿宋_GB2312" w:hAnsi="仿宋_GB2312" w:eastAsia="仿宋_GB2312" w:cs="仿宋_GB2312"/>
          <w:b w:val="0"/>
          <w:bCs w:val="0"/>
          <w:snapToGrid w:val="0"/>
          <w:color w:val="auto"/>
          <w:kern w:val="0"/>
          <w:sz w:val="32"/>
          <w:szCs w:val="32"/>
          <w:lang w:val="en-US" w:eastAsia="zh-CN"/>
        </w:rPr>
        <w:t>“2023年度中央集彩公益金”绩效指标共设置有</w:t>
      </w:r>
      <w:r>
        <w:rPr>
          <w:rFonts w:hint="eastAsia" w:ascii="仿宋_GB2312" w:hAnsi="仿宋_GB2312" w:cs="仿宋_GB2312"/>
          <w:b w:val="0"/>
          <w:bCs w:val="0"/>
          <w:snapToGrid w:val="0"/>
          <w:color w:val="auto"/>
          <w:kern w:val="0"/>
          <w:sz w:val="32"/>
          <w:szCs w:val="32"/>
          <w:lang w:val="en-US" w:eastAsia="zh-CN"/>
        </w:rPr>
        <w:t>11</w:t>
      </w:r>
      <w:r>
        <w:rPr>
          <w:rFonts w:hint="eastAsia" w:ascii="仿宋_GB2312" w:hAnsi="仿宋_GB2312" w:eastAsia="仿宋_GB2312" w:cs="仿宋_GB2312"/>
          <w:b w:val="0"/>
          <w:bCs w:val="0"/>
          <w:snapToGrid w:val="0"/>
          <w:color w:val="auto"/>
          <w:kern w:val="0"/>
          <w:sz w:val="32"/>
          <w:szCs w:val="32"/>
          <w:lang w:val="en-US" w:eastAsia="zh-CN"/>
        </w:rPr>
        <w:t>项三级指标，</w:t>
      </w:r>
      <w:r>
        <w:rPr>
          <w:rFonts w:hint="eastAsia" w:ascii="仿宋_GB2312" w:hAnsi="仿宋_GB2312" w:cs="仿宋_GB2312"/>
          <w:b w:val="0"/>
          <w:bCs w:val="0"/>
          <w:snapToGrid w:val="0"/>
          <w:color w:val="auto"/>
          <w:kern w:val="0"/>
          <w:sz w:val="32"/>
          <w:szCs w:val="32"/>
          <w:lang w:val="en-US" w:eastAsia="zh-CN"/>
        </w:rPr>
        <w:t>该指标分值50分，自评</w:t>
      </w:r>
      <w:r>
        <w:rPr>
          <w:rFonts w:hint="eastAsia" w:ascii="仿宋_GB2312" w:hAnsi="仿宋_GB2312" w:cs="仿宋_GB2312"/>
          <w:b w:val="0"/>
          <w:bCs w:val="0"/>
          <w:snapToGrid w:val="0"/>
          <w:color w:val="auto"/>
          <w:kern w:val="0"/>
          <w:sz w:val="32"/>
          <w:szCs w:val="32"/>
          <w:highlight w:val="none"/>
          <w:lang w:val="en-US" w:eastAsia="zh-CN"/>
        </w:rPr>
        <w:t>得分42.39分</w:t>
      </w:r>
      <w:r>
        <w:rPr>
          <w:rFonts w:hint="eastAsia" w:ascii="仿宋_GB2312" w:hAnsi="仿宋_GB2312" w:cs="仿宋_GB2312"/>
          <w:b w:val="0"/>
          <w:bCs w:val="0"/>
          <w:snapToGrid w:val="0"/>
          <w:color w:val="auto"/>
          <w:kern w:val="0"/>
          <w:sz w:val="32"/>
          <w:szCs w:val="32"/>
          <w:lang w:val="en-US" w:eastAsia="zh-CN"/>
        </w:rPr>
        <w:t>，</w:t>
      </w:r>
      <w:r>
        <w:rPr>
          <w:rFonts w:hint="eastAsia" w:ascii="仿宋_GB2312" w:hAnsi="仿宋_GB2312" w:eastAsia="仿宋_GB2312" w:cs="仿宋_GB2312"/>
          <w:b w:val="0"/>
          <w:bCs w:val="0"/>
          <w:snapToGrid w:val="0"/>
          <w:color w:val="auto"/>
          <w:kern w:val="0"/>
          <w:sz w:val="32"/>
          <w:szCs w:val="32"/>
          <w:highlight w:val="none"/>
          <w:lang w:val="en-US" w:eastAsia="zh-CN"/>
        </w:rPr>
        <w:t>各三级</w:t>
      </w:r>
      <w:r>
        <w:rPr>
          <w:rFonts w:hint="eastAsia" w:ascii="仿宋_GB2312" w:hAnsi="仿宋_GB2312" w:cs="仿宋_GB2312"/>
          <w:b w:val="0"/>
          <w:bCs w:val="0"/>
          <w:snapToGrid w:val="0"/>
          <w:color w:val="auto"/>
          <w:kern w:val="0"/>
          <w:sz w:val="32"/>
          <w:szCs w:val="32"/>
          <w:lang w:val="en-US" w:eastAsia="zh-CN"/>
        </w:rPr>
        <w:t>绩效指标完成情况如下：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（1）支持场地设施数量。</w:t>
      </w:r>
      <w:r>
        <w:rPr>
          <w:rFonts w:hint="eastAsia" w:ascii="仿宋_GB2312" w:hAnsi="仿宋_GB2312" w:cs="仿宋_GB2312"/>
          <w:b w:val="0"/>
          <w:bCs w:val="0"/>
          <w:snapToGrid w:val="0"/>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2023年度中央集彩公益金</w:t>
      </w:r>
      <w:r>
        <w:rPr>
          <w:rFonts w:hint="eastAsia" w:ascii="仿宋_GB2312" w:hAnsi="仿宋_GB2312" w:cs="仿宋_GB2312"/>
          <w:color w:val="auto"/>
          <w:sz w:val="32"/>
          <w:szCs w:val="32"/>
          <w:lang w:val="en-US" w:eastAsia="zh-CN"/>
        </w:rPr>
        <w:t>”计划</w:t>
      </w:r>
      <w:r>
        <w:rPr>
          <w:rFonts w:hint="eastAsia" w:ascii="仿宋_GB2312" w:hAnsi="仿宋_GB2312" w:eastAsia="仿宋_GB2312" w:cs="仿宋_GB2312"/>
          <w:color w:val="auto"/>
          <w:sz w:val="32"/>
          <w:szCs w:val="32"/>
          <w:lang w:val="en-US" w:eastAsia="zh-CN"/>
        </w:rPr>
        <w:t>支持≥121个</w:t>
      </w:r>
      <w:r>
        <w:rPr>
          <w:rFonts w:hint="eastAsia" w:ascii="仿宋_GB2312" w:hAnsi="仿宋_GB2312" w:eastAsia="仿宋_GB2312" w:cs="仿宋_GB2312"/>
          <w:b w:val="0"/>
          <w:bCs w:val="0"/>
          <w:snapToGrid w:val="0"/>
          <w:color w:val="auto"/>
          <w:kern w:val="0"/>
          <w:sz w:val="32"/>
          <w:szCs w:val="32"/>
          <w:lang w:val="en-US" w:eastAsia="zh-CN"/>
        </w:rPr>
        <w:t>场地设施</w:t>
      </w:r>
      <w:r>
        <w:rPr>
          <w:rFonts w:hint="eastAsia" w:ascii="仿宋_GB2312" w:hAnsi="仿宋_GB2312" w:cs="仿宋_GB2312"/>
          <w:b w:val="0"/>
          <w:bCs w:val="0"/>
          <w:snapToGrid w:val="0"/>
          <w:color w:val="auto"/>
          <w:kern w:val="0"/>
          <w:sz w:val="32"/>
          <w:szCs w:val="32"/>
          <w:lang w:val="en-US" w:eastAsia="zh-CN"/>
        </w:rPr>
        <w:t>，其中配置智能化设施设备的小型体育公园、小型健身中心等场地设施2个，国球进社区、进公园119个。实际已支持121个场地设施，已完成14个</w:t>
      </w:r>
      <w:r>
        <w:rPr>
          <w:rFonts w:hint="eastAsia" w:ascii="仿宋_GB2312" w:hAnsi="仿宋_GB2312" w:eastAsia="仿宋_GB2312" w:cs="仿宋_GB2312"/>
          <w:b w:val="0"/>
          <w:bCs w:val="0"/>
          <w:snapToGrid w:val="0"/>
          <w:color w:val="auto"/>
          <w:kern w:val="0"/>
          <w:sz w:val="32"/>
          <w:szCs w:val="32"/>
          <w:lang w:val="en-US" w:eastAsia="zh-CN"/>
        </w:rPr>
        <w:t>场地设施</w:t>
      </w:r>
      <w:r>
        <w:rPr>
          <w:rFonts w:hint="eastAsia" w:ascii="仿宋_GB2312" w:hAnsi="仿宋_GB2312" w:cs="仿宋_GB2312"/>
          <w:b w:val="0"/>
          <w:bCs w:val="0"/>
          <w:snapToGrid w:val="0"/>
          <w:color w:val="auto"/>
          <w:kern w:val="0"/>
          <w:sz w:val="32"/>
          <w:szCs w:val="32"/>
          <w:lang w:val="en-US" w:eastAsia="zh-CN"/>
        </w:rPr>
        <w:t>，其中</w:t>
      </w:r>
      <w:r>
        <w:rPr>
          <w:rFonts w:hint="eastAsia" w:ascii="仿宋_GB2312" w:hAnsi="仿宋_GB2312" w:cs="仿宋_GB2312"/>
          <w:b w:val="0"/>
          <w:bCs w:val="0"/>
          <w:snapToGrid w:val="0"/>
          <w:color w:val="auto"/>
          <w:kern w:val="0"/>
          <w:sz w:val="32"/>
          <w:szCs w:val="32"/>
          <w:highlight w:val="none"/>
          <w:lang w:val="en-US" w:eastAsia="zh-CN"/>
        </w:rPr>
        <w:t>支持广东省奥林匹克体育中心</w:t>
      </w:r>
      <w:r>
        <w:rPr>
          <w:rFonts w:hint="eastAsia" w:ascii="仿宋_GB2312" w:hAnsi="仿宋_GB2312" w:cs="仿宋_GB2312"/>
          <w:b w:val="0"/>
          <w:bCs w:val="0"/>
          <w:snapToGrid w:val="0"/>
          <w:color w:val="auto"/>
          <w:kern w:val="0"/>
          <w:sz w:val="32"/>
          <w:szCs w:val="32"/>
          <w:lang w:val="en-US" w:eastAsia="zh-CN"/>
        </w:rPr>
        <w:t>配置智能化设施设备的小型体育公园1个</w:t>
      </w:r>
      <w:r>
        <w:rPr>
          <w:rFonts w:hint="eastAsia" w:ascii="仿宋_GB2312" w:hAnsi="仿宋_GB2312" w:cs="仿宋_GB2312"/>
          <w:b w:val="0"/>
          <w:bCs w:val="0"/>
          <w:snapToGrid w:val="0"/>
          <w:color w:val="auto"/>
          <w:kern w:val="0"/>
          <w:sz w:val="32"/>
          <w:szCs w:val="32"/>
          <w:highlight w:val="none"/>
          <w:lang w:val="en-US" w:eastAsia="zh-CN"/>
        </w:rPr>
        <w:t>，</w:t>
      </w:r>
      <w:r>
        <w:rPr>
          <w:rFonts w:hint="eastAsia" w:ascii="仿宋_GB2312" w:hAnsi="仿宋_GB2312" w:cs="仿宋_GB2312"/>
          <w:b w:val="0"/>
          <w:bCs w:val="0"/>
          <w:snapToGrid w:val="0"/>
          <w:color w:val="auto"/>
          <w:kern w:val="0"/>
          <w:sz w:val="32"/>
          <w:szCs w:val="32"/>
          <w:lang w:val="en-US" w:eastAsia="zh-CN"/>
        </w:rPr>
        <w:t>支持</w:t>
      </w:r>
      <w:r>
        <w:rPr>
          <w:rFonts w:hint="eastAsia" w:ascii="仿宋_GB2312" w:hAnsi="仿宋_GB2312" w:cs="仿宋_GB2312"/>
          <w:b w:val="0"/>
          <w:bCs w:val="0"/>
          <w:snapToGrid w:val="0"/>
          <w:color w:val="auto"/>
          <w:kern w:val="0"/>
          <w:sz w:val="32"/>
          <w:szCs w:val="32"/>
          <w:highlight w:val="none"/>
          <w:lang w:val="en-US" w:eastAsia="zh-CN"/>
        </w:rPr>
        <w:t>惠州市国球进社区、进公园13个</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其他未完成的</w:t>
      </w:r>
      <w:r>
        <w:rPr>
          <w:rFonts w:hint="eastAsia" w:ascii="仿宋_GB2312" w:hAnsi="仿宋_GB2312" w:eastAsia="仿宋_GB2312" w:cs="仿宋_GB2312"/>
          <w:b w:val="0"/>
          <w:bCs w:val="0"/>
          <w:snapToGrid w:val="0"/>
          <w:color w:val="auto"/>
          <w:kern w:val="0"/>
          <w:sz w:val="32"/>
          <w:szCs w:val="32"/>
          <w:lang w:val="en-US" w:eastAsia="zh-CN"/>
        </w:rPr>
        <w:t>场地设施</w:t>
      </w:r>
      <w:r>
        <w:rPr>
          <w:rFonts w:hint="eastAsia" w:ascii="仿宋_GB2312" w:hAnsi="仿宋_GB2312" w:cs="仿宋_GB2312"/>
          <w:b w:val="0"/>
          <w:bCs w:val="0"/>
          <w:snapToGrid w:val="0"/>
          <w:color w:val="auto"/>
          <w:kern w:val="0"/>
          <w:sz w:val="32"/>
          <w:szCs w:val="32"/>
          <w:lang w:val="en-US" w:eastAsia="zh-CN"/>
        </w:rPr>
        <w:t>由于</w:t>
      </w:r>
      <w:r>
        <w:rPr>
          <w:rFonts w:hint="eastAsia" w:ascii="仿宋_GB2312" w:hAnsi="仿宋_GB2312" w:cs="仿宋_GB2312"/>
          <w:color w:val="auto"/>
          <w:sz w:val="32"/>
          <w:szCs w:val="32"/>
          <w:highlight w:val="none"/>
          <w:lang w:val="en-US" w:eastAsia="zh-CN"/>
        </w:rPr>
        <w:t>资金下达较晚，项目大多处于计划阶段，预计2024年底完成工作任务。</w:t>
      </w:r>
      <w:r>
        <w:rPr>
          <w:rFonts w:hint="eastAsia" w:ascii="仿宋_GB2312" w:hAnsi="仿宋_GB2312" w:cs="仿宋_GB2312"/>
          <w:b w:val="0"/>
          <w:bCs w:val="0"/>
          <w:snapToGrid w:val="0"/>
          <w:color w:val="auto"/>
          <w:kern w:val="0"/>
          <w:sz w:val="32"/>
          <w:szCs w:val="32"/>
          <w:lang w:val="en-US" w:eastAsia="zh-CN"/>
        </w:rPr>
        <w:t>该指标分值2分，自评</w:t>
      </w:r>
      <w:r>
        <w:rPr>
          <w:rFonts w:hint="eastAsia" w:ascii="仿宋_GB2312" w:hAnsi="仿宋_GB2312" w:cs="仿宋_GB2312"/>
          <w:b w:val="0"/>
          <w:bCs w:val="0"/>
          <w:snapToGrid w:val="0"/>
          <w:color w:val="auto"/>
          <w:kern w:val="0"/>
          <w:sz w:val="32"/>
          <w:szCs w:val="32"/>
          <w:highlight w:val="none"/>
          <w:lang w:val="en-US" w:eastAsia="zh-CN"/>
        </w:rPr>
        <w:t>得分0.23分。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（2）支持训练基地数量。</w:t>
      </w:r>
      <w:r>
        <w:rPr>
          <w:rFonts w:hint="eastAsia" w:ascii="仿宋_GB2312" w:hAnsi="仿宋_GB2312" w:cs="仿宋_GB2312"/>
          <w:b w:val="0"/>
          <w:bCs w:val="0"/>
          <w:snapToGrid w:val="0"/>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2023年度中央集彩公益金</w:t>
      </w:r>
      <w:r>
        <w:rPr>
          <w:rFonts w:hint="eastAsia" w:ascii="仿宋_GB2312" w:hAnsi="仿宋_GB2312" w:cs="仿宋_GB2312"/>
          <w:color w:val="auto"/>
          <w:sz w:val="32"/>
          <w:szCs w:val="32"/>
          <w:lang w:val="en-US" w:eastAsia="zh-CN"/>
        </w:rPr>
        <w:t>”计划</w:t>
      </w:r>
      <w:r>
        <w:rPr>
          <w:rFonts w:hint="eastAsia" w:ascii="仿宋_GB2312" w:hAnsi="仿宋_GB2312" w:eastAsia="仿宋_GB2312" w:cs="仿宋_GB2312"/>
          <w:color w:val="auto"/>
          <w:sz w:val="32"/>
          <w:szCs w:val="32"/>
          <w:lang w:val="en-US" w:eastAsia="zh-CN"/>
        </w:rPr>
        <w:t>支持≥</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个</w:t>
      </w:r>
      <w:r>
        <w:rPr>
          <w:rFonts w:hint="eastAsia" w:ascii="仿宋_GB2312" w:hAnsi="仿宋_GB2312" w:cs="仿宋_GB2312"/>
          <w:color w:val="auto"/>
          <w:sz w:val="32"/>
          <w:szCs w:val="32"/>
          <w:lang w:val="en-US" w:eastAsia="zh-CN"/>
        </w:rPr>
        <w:t>训练基地，</w:t>
      </w:r>
      <w:r>
        <w:rPr>
          <w:rFonts w:hint="eastAsia" w:ascii="仿宋_GB2312" w:hAnsi="仿宋_GB2312" w:cs="仿宋_GB2312"/>
          <w:b w:val="0"/>
          <w:bCs w:val="0"/>
          <w:snapToGrid w:val="0"/>
          <w:color w:val="auto"/>
          <w:kern w:val="0"/>
          <w:sz w:val="32"/>
          <w:szCs w:val="32"/>
          <w:lang w:val="en-US" w:eastAsia="zh-CN"/>
        </w:rPr>
        <w:t>实际已支持2个，已完成1</w:t>
      </w:r>
      <w:r>
        <w:rPr>
          <w:rFonts w:hint="eastAsia" w:ascii="仿宋_GB2312" w:hAnsi="仿宋_GB2312" w:eastAsia="仿宋_GB2312" w:cs="仿宋_GB2312"/>
          <w:color w:val="auto"/>
          <w:sz w:val="32"/>
          <w:szCs w:val="32"/>
          <w:lang w:val="en-US" w:eastAsia="zh-CN"/>
        </w:rPr>
        <w:t>个</w:t>
      </w:r>
      <w:r>
        <w:rPr>
          <w:rFonts w:hint="eastAsia" w:ascii="仿宋_GB2312" w:hAnsi="仿宋_GB2312" w:cs="仿宋_GB2312"/>
          <w:color w:val="auto"/>
          <w:sz w:val="32"/>
          <w:szCs w:val="32"/>
          <w:lang w:val="en-US" w:eastAsia="zh-CN"/>
        </w:rPr>
        <w:t>训练基地，其中清远市原“体育泡泡”延续性项目，已完成泡泡训练基地所必需的球员宿舍配套、购置体育设施及器材、园区泡泡隔离围蔽、应急用房建设等硬件改造和设施设备添置等工作。江门市国家队训练基地综合保障条件改善项目已经完成基地建设器材采购招标工作，采购合同已经签订，后续按照合同约定做好国家队训练基地建设，并及时对款项进行支付。</w:t>
      </w:r>
      <w:r>
        <w:rPr>
          <w:rFonts w:hint="eastAsia" w:ascii="仿宋_GB2312" w:hAnsi="仿宋_GB2312" w:cs="仿宋_GB2312"/>
          <w:b w:val="0"/>
          <w:bCs w:val="0"/>
          <w:snapToGrid w:val="0"/>
          <w:color w:val="auto"/>
          <w:kern w:val="0"/>
          <w:sz w:val="32"/>
          <w:szCs w:val="32"/>
          <w:lang w:val="en-US" w:eastAsia="zh-CN"/>
        </w:rPr>
        <w:t>该指标分值2.8分，自评</w:t>
      </w:r>
      <w:r>
        <w:rPr>
          <w:rFonts w:hint="eastAsia" w:ascii="仿宋_GB2312" w:hAnsi="仿宋_GB2312" w:cs="仿宋_GB2312"/>
          <w:b w:val="0"/>
          <w:bCs w:val="0"/>
          <w:snapToGrid w:val="0"/>
          <w:color w:val="auto"/>
          <w:kern w:val="0"/>
          <w:sz w:val="32"/>
          <w:szCs w:val="32"/>
          <w:highlight w:val="none"/>
          <w:lang w:val="en-US" w:eastAsia="zh-CN"/>
        </w:rPr>
        <w:t>得分1.4分。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（3）支持赛事活动数量。“2023年度中央集彩公益金”计划支持开展≥408场次赛事活动，</w:t>
      </w:r>
      <w:r>
        <w:rPr>
          <w:rFonts w:hint="eastAsia" w:ascii="仿宋_GB2312" w:hAnsi="仿宋_GB2312" w:cs="仿宋_GB2312"/>
          <w:color w:val="auto"/>
          <w:sz w:val="32"/>
          <w:szCs w:val="32"/>
          <w:lang w:val="en-US" w:eastAsia="zh-CN"/>
        </w:rPr>
        <w:t>实际已组织开展736个赛事活动，超过原定目标30%的原因是增加了青少年赛事场次。其中开展2023年社区运动会活动332场次、开展全民健身主题系列活动26场次、开展全民健身志愿服务活动15场、推行国家体育锻炼标准活动80场、开展U系列赛事3场、开展奔跑吧</w:t>
      </w:r>
      <w:r>
        <w:rPr>
          <w:rFonts w:hint="eastAsia" w:ascii="汉仪大黑简" w:hAnsi="汉仪大黑简" w:eastAsia="汉仪大黑简" w:cs="汉仪大黑简"/>
          <w:color w:val="auto"/>
          <w:sz w:val="32"/>
          <w:szCs w:val="32"/>
          <w:lang w:val="en-US" w:eastAsia="zh-CN"/>
        </w:rPr>
        <w:t>·</w:t>
      </w:r>
      <w:r>
        <w:rPr>
          <w:rFonts w:hint="eastAsia" w:ascii="仿宋_GB2312" w:hAnsi="仿宋_GB2312" w:cs="仿宋_GB2312"/>
          <w:color w:val="auto"/>
          <w:sz w:val="32"/>
          <w:szCs w:val="32"/>
          <w:lang w:val="en-US" w:eastAsia="zh-CN"/>
        </w:rPr>
        <w:t>少年活动280场次。</w:t>
      </w:r>
      <w:r>
        <w:rPr>
          <w:rFonts w:hint="eastAsia" w:ascii="仿宋_GB2312" w:hAnsi="仿宋_GB2312" w:cs="仿宋_GB2312"/>
          <w:b w:val="0"/>
          <w:bCs w:val="0"/>
          <w:snapToGrid w:val="0"/>
          <w:color w:val="auto"/>
          <w:kern w:val="0"/>
          <w:sz w:val="32"/>
          <w:szCs w:val="32"/>
          <w:lang w:val="en-US" w:eastAsia="zh-CN"/>
        </w:rPr>
        <w:t>该指标分值2.8分，自评</w:t>
      </w:r>
      <w:r>
        <w:rPr>
          <w:rFonts w:hint="eastAsia" w:ascii="仿宋_GB2312" w:hAnsi="仿宋_GB2312" w:cs="仿宋_GB2312"/>
          <w:b w:val="0"/>
          <w:bCs w:val="0"/>
          <w:snapToGrid w:val="0"/>
          <w:color w:val="auto"/>
          <w:kern w:val="0"/>
          <w:sz w:val="32"/>
          <w:szCs w:val="32"/>
          <w:highlight w:val="none"/>
          <w:lang w:val="en-US" w:eastAsia="zh-CN"/>
        </w:rPr>
        <w:t>得分2.8分。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（4）参加赛事活动人次。</w:t>
      </w:r>
      <w:r>
        <w:rPr>
          <w:rFonts w:hint="eastAsia" w:ascii="仿宋_GB2312" w:hAnsi="仿宋_GB2312" w:cs="仿宋_GB2312"/>
          <w:color w:val="auto"/>
          <w:sz w:val="32"/>
          <w:szCs w:val="32"/>
        </w:rPr>
        <w:t>该指标值≥5</w:t>
      </w:r>
      <w:r>
        <w:rPr>
          <w:rFonts w:hint="eastAsia" w:ascii="仿宋_GB2312" w:hAnsi="仿宋_GB2312" w:cs="仿宋_GB2312"/>
          <w:color w:val="auto"/>
          <w:sz w:val="32"/>
          <w:szCs w:val="32"/>
          <w:lang w:val="en-US" w:eastAsia="zh-CN"/>
        </w:rPr>
        <w:t>464</w:t>
      </w:r>
      <w:r>
        <w:rPr>
          <w:rFonts w:hint="eastAsia" w:ascii="仿宋_GB2312" w:hAnsi="仿宋_GB2312" w:cs="仿宋_GB2312"/>
          <w:color w:val="auto"/>
          <w:sz w:val="32"/>
          <w:szCs w:val="32"/>
        </w:rPr>
        <w:t>00人次</w:t>
      </w:r>
      <w:r>
        <w:rPr>
          <w:rFonts w:hint="eastAsia"/>
          <w:color w:val="auto"/>
          <w:lang w:val="en-US" w:eastAsia="zh-CN"/>
        </w:rPr>
        <w:t>，</w:t>
      </w:r>
      <w:r>
        <w:rPr>
          <w:rFonts w:hint="eastAsia" w:ascii="仿宋_GB2312" w:hAnsi="仿宋_GB2312" w:cs="仿宋_GB2312"/>
          <w:color w:val="auto"/>
          <w:sz w:val="32"/>
          <w:szCs w:val="32"/>
          <w:lang w:val="en-US" w:eastAsia="zh-CN"/>
        </w:rPr>
        <w:t>2023年已组织支持开展的赛事活动中，</w:t>
      </w:r>
      <w:r>
        <w:rPr>
          <w:rFonts w:hint="eastAsia" w:ascii="仿宋_GB2312" w:hAnsi="仿宋_GB2312" w:eastAsia="仿宋_GB2312" w:cs="仿宋_GB2312"/>
          <w:color w:val="auto"/>
          <w:sz w:val="32"/>
          <w:szCs w:val="32"/>
          <w:lang w:val="en-US" w:eastAsia="zh-CN"/>
        </w:rPr>
        <w:t>参加人数合计约</w:t>
      </w:r>
      <w:r>
        <w:rPr>
          <w:rFonts w:hint="eastAsia" w:ascii="仿宋_GB2312" w:hAnsi="仿宋_GB2312" w:cs="仿宋_GB2312"/>
          <w:color w:val="auto"/>
          <w:sz w:val="32"/>
          <w:szCs w:val="32"/>
          <w:lang w:val="en-US" w:eastAsia="zh-CN"/>
        </w:rPr>
        <w:t>1710787</w:t>
      </w:r>
      <w:r>
        <w:rPr>
          <w:rFonts w:hint="eastAsia" w:ascii="仿宋_GB2312" w:hAnsi="仿宋_GB2312" w:eastAsia="仿宋_GB2312" w:cs="仿宋_GB2312"/>
          <w:color w:val="auto"/>
          <w:sz w:val="32"/>
          <w:szCs w:val="32"/>
          <w:lang w:val="en-US" w:eastAsia="zh-CN"/>
        </w:rPr>
        <w:t>人次</w:t>
      </w:r>
      <w:r>
        <w:rPr>
          <w:rFonts w:hint="eastAsia" w:ascii="仿宋_GB2312" w:hAnsi="仿宋_GB2312" w:cs="仿宋_GB2312"/>
          <w:color w:val="auto"/>
          <w:sz w:val="32"/>
          <w:szCs w:val="32"/>
          <w:lang w:val="en-US" w:eastAsia="zh-CN"/>
        </w:rPr>
        <w:t>（含线上线下），比原定目标超过30%的原因是以线上线下相结合的形式开展活动，在体育等部门支持下，全省青少年踊跃参与。其中，参加2023年社区运动会活动有39368人次（含线上线下）、参加全民健身主题系列活动7917人次、参加推行国家体育锻炼标准有10000人次、参加U系列赛事有</w:t>
      </w:r>
      <w:r>
        <w:rPr>
          <w:rFonts w:hint="eastAsia" w:ascii="仿宋_GB2312" w:hAnsi="仿宋_GB2312" w:cs="仿宋_GB2312"/>
          <w:color w:val="auto"/>
          <w:sz w:val="32"/>
          <w:szCs w:val="32"/>
          <w:highlight w:val="none"/>
          <w:lang w:val="en-US" w:eastAsia="zh-CN"/>
        </w:rPr>
        <w:t>2242人次</w:t>
      </w:r>
      <w:r>
        <w:rPr>
          <w:rFonts w:hint="eastAsia" w:ascii="仿宋_GB2312" w:hAnsi="仿宋_GB2312" w:cs="仿宋_GB2312"/>
          <w:color w:val="auto"/>
          <w:sz w:val="32"/>
          <w:szCs w:val="32"/>
          <w:lang w:val="en-US" w:eastAsia="zh-CN"/>
        </w:rPr>
        <w:t>、参加“奔跑吧</w:t>
      </w:r>
      <w:r>
        <w:rPr>
          <w:rFonts w:hint="eastAsia" w:ascii="汉仪大黑简" w:hAnsi="汉仪大黑简" w:eastAsia="汉仪大黑简" w:cs="汉仪大黑简"/>
          <w:color w:val="auto"/>
          <w:sz w:val="32"/>
          <w:szCs w:val="32"/>
          <w:lang w:val="en-US" w:eastAsia="zh-CN"/>
        </w:rPr>
        <w:t>·</w:t>
      </w:r>
      <w:r>
        <w:rPr>
          <w:rFonts w:hint="eastAsia" w:ascii="仿宋_GB2312" w:hAnsi="仿宋_GB2312" w:cs="仿宋_GB2312"/>
          <w:color w:val="auto"/>
          <w:sz w:val="32"/>
          <w:szCs w:val="32"/>
          <w:lang w:val="en-US" w:eastAsia="zh-CN"/>
        </w:rPr>
        <w:t>少年”活动有</w:t>
      </w:r>
      <w:r>
        <w:rPr>
          <w:rFonts w:hint="eastAsia" w:ascii="仿宋_GB2312" w:hAnsi="仿宋_GB2312" w:cs="仿宋_GB2312"/>
          <w:color w:val="auto"/>
          <w:sz w:val="32"/>
          <w:szCs w:val="32"/>
          <w:highlight w:val="none"/>
          <w:lang w:val="en-US" w:eastAsia="zh-CN"/>
        </w:rPr>
        <w:t>1580000人次（含线上线下）。</w:t>
      </w:r>
      <w:r>
        <w:rPr>
          <w:rFonts w:hint="eastAsia" w:ascii="仿宋_GB2312" w:hAnsi="仿宋_GB2312" w:eastAsia="仿宋_GB2312" w:cs="仿宋_GB2312"/>
          <w:color w:val="auto"/>
          <w:sz w:val="32"/>
          <w:szCs w:val="32"/>
          <w:lang w:val="en-US" w:eastAsia="zh-CN"/>
        </w:rPr>
        <w:t>活动人次是指标值</w:t>
      </w:r>
      <w:r>
        <w:rPr>
          <w:rFonts w:hint="eastAsia" w:ascii="仿宋_GB2312" w:hAnsi="仿宋_GB2312" w:cs="仿宋_GB2312"/>
          <w:color w:val="auto"/>
          <w:sz w:val="32"/>
          <w:szCs w:val="32"/>
          <w:lang w:val="en-US" w:eastAsia="zh-CN"/>
        </w:rPr>
        <w:t>54.64</w:t>
      </w:r>
      <w:r>
        <w:rPr>
          <w:rFonts w:hint="eastAsia" w:ascii="仿宋_GB2312" w:hAnsi="仿宋_GB2312" w:eastAsia="仿宋_GB2312" w:cs="仿宋_GB2312"/>
          <w:color w:val="auto"/>
          <w:sz w:val="32"/>
          <w:szCs w:val="32"/>
          <w:lang w:val="en-US" w:eastAsia="zh-CN"/>
        </w:rPr>
        <w:t>万的</w:t>
      </w:r>
      <w:r>
        <w:rPr>
          <w:rFonts w:hint="eastAsia" w:ascii="仿宋_GB2312" w:hAnsi="仿宋_GB2312" w:cs="仿宋_GB2312"/>
          <w:color w:val="auto"/>
          <w:sz w:val="32"/>
          <w:szCs w:val="32"/>
          <w:lang w:val="en-US" w:eastAsia="zh-CN"/>
        </w:rPr>
        <w:t>3.13</w:t>
      </w:r>
      <w:r>
        <w:rPr>
          <w:rFonts w:hint="eastAsia" w:ascii="仿宋_GB2312" w:hAnsi="仿宋_GB2312" w:eastAsia="仿宋_GB2312" w:cs="仿宋_GB2312"/>
          <w:color w:val="auto"/>
          <w:sz w:val="32"/>
          <w:szCs w:val="32"/>
          <w:lang w:val="en-US" w:eastAsia="zh-CN"/>
        </w:rPr>
        <w:t>倍。</w:t>
      </w:r>
      <w:r>
        <w:rPr>
          <w:rFonts w:hint="eastAsia" w:ascii="仿宋_GB2312" w:hAnsi="仿宋_GB2312" w:cs="仿宋_GB2312"/>
          <w:b w:val="0"/>
          <w:bCs w:val="0"/>
          <w:snapToGrid w:val="0"/>
          <w:color w:val="auto"/>
          <w:kern w:val="0"/>
          <w:sz w:val="32"/>
          <w:szCs w:val="32"/>
          <w:lang w:val="en-US" w:eastAsia="zh-CN"/>
        </w:rPr>
        <w:t>该指标分值2.8分，自评</w:t>
      </w:r>
      <w:r>
        <w:rPr>
          <w:rFonts w:hint="eastAsia" w:ascii="仿宋_GB2312" w:hAnsi="仿宋_GB2312" w:cs="仿宋_GB2312"/>
          <w:b w:val="0"/>
          <w:bCs w:val="0"/>
          <w:snapToGrid w:val="0"/>
          <w:color w:val="auto"/>
          <w:kern w:val="0"/>
          <w:sz w:val="32"/>
          <w:szCs w:val="32"/>
          <w:highlight w:val="none"/>
          <w:lang w:val="en-US" w:eastAsia="zh-CN"/>
        </w:rPr>
        <w:t>得分2.8分。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（5）人才培养培训数量。2023年计划人才培养培训数量≥150人，实际</w:t>
      </w:r>
      <w:r>
        <w:rPr>
          <w:rFonts w:hint="eastAsia" w:ascii="仿宋_GB2312" w:hAnsi="仿宋_GB2312" w:cs="仿宋_GB2312"/>
          <w:color w:val="auto"/>
          <w:sz w:val="32"/>
          <w:szCs w:val="32"/>
          <w:lang w:val="en-US" w:eastAsia="zh-CN"/>
        </w:rPr>
        <w:t>已组织人才培养培训数量</w:t>
      </w:r>
      <w:r>
        <w:rPr>
          <w:rFonts w:hint="eastAsia" w:ascii="仿宋_GB2312" w:hAnsi="仿宋_GB2312" w:cs="仿宋_GB2312"/>
          <w:color w:val="auto"/>
          <w:sz w:val="32"/>
          <w:szCs w:val="32"/>
          <w:lang w:val="en-US" w:eastAsia="zh-CN"/>
        </w:rPr>
        <w:t>150人。全省各地基层社会体育指导员骨干150人参加培训，此培训采取线上线下相结合的方式，扩大社会体育指导员队伍，提高社会体育指导员健身技能水平。</w:t>
      </w:r>
      <w:r>
        <w:rPr>
          <w:rFonts w:hint="eastAsia" w:ascii="仿宋_GB2312" w:hAnsi="仿宋_GB2312" w:cs="仿宋_GB2312"/>
          <w:b w:val="0"/>
          <w:bCs w:val="0"/>
          <w:snapToGrid w:val="0"/>
          <w:color w:val="auto"/>
          <w:kern w:val="0"/>
          <w:sz w:val="32"/>
          <w:szCs w:val="32"/>
          <w:lang w:val="en-US" w:eastAsia="zh-CN"/>
        </w:rPr>
        <w:t>该指标分值2.8分，自评</w:t>
      </w:r>
      <w:r>
        <w:rPr>
          <w:rFonts w:hint="eastAsia" w:ascii="仿宋_GB2312" w:hAnsi="仿宋_GB2312" w:cs="仿宋_GB2312"/>
          <w:b w:val="0"/>
          <w:bCs w:val="0"/>
          <w:snapToGrid w:val="0"/>
          <w:color w:val="auto"/>
          <w:kern w:val="0"/>
          <w:sz w:val="32"/>
          <w:szCs w:val="32"/>
          <w:highlight w:val="none"/>
          <w:lang w:val="en-US" w:eastAsia="zh-CN"/>
        </w:rPr>
        <w:t>得分2.8分。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资助后备力量培养单位数量。2023年计划资助后备力量培养单位数量≥5个，实际已资助后备力量培养单位5个，已完成4个。其中，广州市重点项目布局（篮球），为了实现训练效果及训练成绩的提升，减少对运动员的关节、韧带、脊椎、膝盖的防滑性能，对风雨篮球场运动地板进行改造等，培养篮球后备人才不少于60人；广州市重点项目布局（体操），购买日常训练消耗品、进行体操训练器材维修等，培养体操后备人才不少于30人。湛江市重点项目布局（跳水），对体育学校外场环境（排水、地面等）改造、购置固定3个保护带架、购置安装符合国际比赛标准跳板3块等，保障跳水项目33名运动员的训练安全。江门市重点项目布局（排球），通过日常集训、引进高水平排球运动员、购置运动员教学平台和训练器材设备、参加全国排球基地集训及比赛等，培养排球后备人才157人。东莞市重点项目布局（篮球），2023年购买教学用品、后勤保障用品，对东莞篮球学校场地环境进行维修等，培养篮球后备人才214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东莞市重点项目布局（举重），购买运动器材、日常训练消耗品，进行举重器材维修、集训等，计划在2024年支付相关费用，培养举重后备人才43人。茂名市、揭阳市资助体校建设项目，根据工作方案逐步推进中，尚未完成。梅州市资助第二批足球发展重点城市，2023年支付资金35万元，用于梅州市青少年足球精英梯队建设和管理工作预付款，2024年加强项目管理，加快项目进度，争取加快支付进度，完成第二批足球发展重点城市资助任务。阳江市竞技体育后备人才培养，</w:t>
      </w:r>
      <w:r>
        <w:rPr>
          <w:rFonts w:hint="eastAsia" w:ascii="仿宋_GB2312" w:hAnsi="仿宋_GB2312" w:cs="仿宋_GB2312"/>
          <w:color w:val="auto"/>
          <w:sz w:val="32"/>
          <w:szCs w:val="32"/>
          <w:lang w:val="en-US" w:eastAsia="zh-CN"/>
        </w:rPr>
        <w:t>于2024年02月02日完成资助1个体育运动学校帆船帆板项目，开展选苗育苗、后备人才培养工作，</w:t>
      </w:r>
      <w:r>
        <w:rPr>
          <w:rFonts w:hint="eastAsia" w:ascii="仿宋_GB2312" w:hAnsi="仿宋_GB2312" w:cs="仿宋_GB2312"/>
          <w:color w:val="auto"/>
          <w:sz w:val="32"/>
          <w:szCs w:val="32"/>
          <w:lang w:val="en-US" w:eastAsia="zh-CN"/>
        </w:rPr>
        <w:t>培养运动员60人。</w:t>
      </w:r>
      <w:r>
        <w:rPr>
          <w:rFonts w:hint="eastAsia" w:ascii="仿宋_GB2312" w:hAnsi="仿宋_GB2312" w:cs="仿宋_GB2312"/>
          <w:b w:val="0"/>
          <w:bCs w:val="0"/>
          <w:snapToGrid w:val="0"/>
          <w:color w:val="auto"/>
          <w:kern w:val="0"/>
          <w:sz w:val="32"/>
          <w:szCs w:val="32"/>
          <w:lang w:val="en-US" w:eastAsia="zh-CN"/>
        </w:rPr>
        <w:t>该指标分值2.8分，自评</w:t>
      </w:r>
      <w:r>
        <w:rPr>
          <w:rFonts w:hint="eastAsia" w:ascii="仿宋_GB2312" w:hAnsi="仿宋_GB2312" w:cs="仿宋_GB2312"/>
          <w:b w:val="0"/>
          <w:bCs w:val="0"/>
          <w:snapToGrid w:val="0"/>
          <w:color w:val="auto"/>
          <w:kern w:val="0"/>
          <w:sz w:val="32"/>
          <w:szCs w:val="32"/>
          <w:highlight w:val="none"/>
          <w:lang w:val="en-US" w:eastAsia="zh-CN"/>
        </w:rPr>
        <w:t>得分2.24分。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i w:val="0"/>
          <w:iCs w:val="0"/>
          <w:color w:val="auto"/>
          <w:spacing w:val="0"/>
          <w:kern w:val="0"/>
          <w:sz w:val="32"/>
          <w:szCs w:val="32"/>
          <w:u w:val="none"/>
          <w:lang w:val="en-US" w:eastAsia="zh-CN" w:bidi="ar"/>
        </w:rPr>
        <w:t>场地设施竣工验收合格率</w:t>
      </w:r>
      <w:r>
        <w:rPr>
          <w:rFonts w:hint="eastAsia" w:ascii="仿宋_GB2312" w:hAnsi="仿宋_GB2312" w:cs="仿宋_GB2312"/>
          <w:i w:val="0"/>
          <w:iCs w:val="0"/>
          <w:color w:val="auto"/>
          <w:spacing w:val="0"/>
          <w:kern w:val="0"/>
          <w:sz w:val="32"/>
          <w:szCs w:val="32"/>
          <w:u w:val="none"/>
          <w:lang w:val="en-US" w:eastAsia="zh-CN" w:bidi="ar"/>
        </w:rPr>
        <w:t>。2023年计划</w:t>
      </w:r>
      <w:r>
        <w:rPr>
          <w:rFonts w:hint="eastAsia" w:ascii="仿宋_GB2312" w:hAnsi="仿宋_GB2312" w:cs="仿宋_GB2312"/>
          <w:color w:val="auto"/>
          <w:sz w:val="32"/>
          <w:szCs w:val="32"/>
          <w:lang w:val="en-US" w:eastAsia="zh-CN"/>
        </w:rPr>
        <w:t>设备验收合格率</w:t>
      </w:r>
      <w:r>
        <w:rPr>
          <w:rFonts w:hint="eastAsia" w:ascii="仿宋_GB2312" w:hAnsi="仿宋_GB2312" w:cs="仿宋_GB2312"/>
          <w:i w:val="0"/>
          <w:iCs w:val="0"/>
          <w:color w:val="auto"/>
          <w:spacing w:val="0"/>
          <w:kern w:val="0"/>
          <w:sz w:val="32"/>
          <w:szCs w:val="32"/>
          <w:highlight w:val="none"/>
          <w:u w:val="none"/>
          <w:lang w:val="en-US" w:eastAsia="zh-CN" w:bidi="ar"/>
        </w:rPr>
        <w:t>≥90%。</w:t>
      </w:r>
      <w:r>
        <w:rPr>
          <w:rFonts w:hint="eastAsia" w:ascii="仿宋_GB2312" w:hAnsi="仿宋_GB2312" w:cs="仿宋_GB2312"/>
          <w:i w:val="0"/>
          <w:iCs w:val="0"/>
          <w:color w:val="auto"/>
          <w:spacing w:val="0"/>
          <w:kern w:val="0"/>
          <w:sz w:val="32"/>
          <w:szCs w:val="32"/>
          <w:u w:val="none"/>
          <w:lang w:val="en-US" w:eastAsia="zh-CN" w:bidi="ar"/>
        </w:rPr>
        <w:t>计划2023年完成121个场地设施，已开展121个场地设施建设，实际完成14个场地设施，</w:t>
      </w:r>
      <w:r>
        <w:rPr>
          <w:rFonts w:hint="eastAsia" w:ascii="仿宋_GB2312" w:hAnsi="仿宋_GB2312" w:eastAsia="仿宋_GB2312" w:cs="仿宋_GB2312"/>
          <w:i w:val="0"/>
          <w:iCs w:val="0"/>
          <w:color w:val="auto"/>
          <w:spacing w:val="0"/>
          <w:kern w:val="0"/>
          <w:sz w:val="32"/>
          <w:szCs w:val="32"/>
          <w:u w:val="none"/>
          <w:lang w:val="en-US" w:eastAsia="zh-CN" w:bidi="ar"/>
        </w:rPr>
        <w:t>场地设施竣工验收合格率</w:t>
      </w:r>
      <w:r>
        <w:rPr>
          <w:rFonts w:hint="eastAsia" w:ascii="仿宋_GB2312" w:hAnsi="仿宋_GB2312" w:cs="仿宋_GB2312"/>
          <w:i w:val="0"/>
          <w:iCs w:val="0"/>
          <w:color w:val="auto"/>
          <w:spacing w:val="0"/>
          <w:kern w:val="0"/>
          <w:sz w:val="32"/>
          <w:szCs w:val="32"/>
          <w:highlight w:val="none"/>
          <w:u w:val="none"/>
          <w:lang w:val="en-US" w:eastAsia="zh-CN" w:bidi="ar"/>
        </w:rPr>
        <w:t>≥11.57%。</w:t>
      </w:r>
      <w:r>
        <w:rPr>
          <w:rFonts w:hint="eastAsia" w:ascii="仿宋_GB2312" w:hAnsi="仿宋_GB2312" w:cs="仿宋_GB2312"/>
          <w:b w:val="0"/>
          <w:bCs w:val="0"/>
          <w:snapToGrid w:val="0"/>
          <w:color w:val="auto"/>
          <w:kern w:val="0"/>
          <w:sz w:val="32"/>
          <w:szCs w:val="32"/>
          <w:lang w:val="en-US" w:eastAsia="zh-CN"/>
        </w:rPr>
        <w:t>该指标分值2.8分，自评</w:t>
      </w:r>
      <w:r>
        <w:rPr>
          <w:rFonts w:hint="eastAsia" w:ascii="仿宋_GB2312" w:hAnsi="仿宋_GB2312" w:cs="仿宋_GB2312"/>
          <w:b w:val="0"/>
          <w:bCs w:val="0"/>
          <w:snapToGrid w:val="0"/>
          <w:color w:val="auto"/>
          <w:kern w:val="0"/>
          <w:sz w:val="32"/>
          <w:szCs w:val="32"/>
          <w:highlight w:val="none"/>
          <w:lang w:val="en-US" w:eastAsia="zh-CN"/>
        </w:rPr>
        <w:t>得分0.32分。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（8）设备验收合格率。</w:t>
      </w:r>
      <w:r>
        <w:rPr>
          <w:rFonts w:hint="eastAsia" w:ascii="仿宋_GB2312" w:hAnsi="仿宋_GB2312" w:cs="仿宋_GB2312"/>
          <w:i w:val="0"/>
          <w:iCs w:val="0"/>
          <w:color w:val="auto"/>
          <w:spacing w:val="0"/>
          <w:kern w:val="0"/>
          <w:sz w:val="32"/>
          <w:szCs w:val="32"/>
          <w:u w:val="none"/>
          <w:lang w:val="en-US" w:eastAsia="zh-CN" w:bidi="ar"/>
        </w:rPr>
        <w:t>2023年计划</w:t>
      </w:r>
      <w:r>
        <w:rPr>
          <w:rFonts w:hint="eastAsia" w:ascii="仿宋_GB2312" w:hAnsi="仿宋_GB2312" w:cs="仿宋_GB2312"/>
          <w:color w:val="auto"/>
          <w:sz w:val="32"/>
          <w:szCs w:val="32"/>
          <w:lang w:val="en-US" w:eastAsia="zh-CN"/>
        </w:rPr>
        <w:t>设备验收合格率</w:t>
      </w:r>
      <w:r>
        <w:rPr>
          <w:rFonts w:hint="eastAsia" w:ascii="仿宋_GB2312" w:hAnsi="仿宋_GB2312" w:cs="仿宋_GB2312"/>
          <w:i w:val="0"/>
          <w:iCs w:val="0"/>
          <w:color w:val="auto"/>
          <w:spacing w:val="0"/>
          <w:kern w:val="0"/>
          <w:sz w:val="32"/>
          <w:szCs w:val="32"/>
          <w:highlight w:val="none"/>
          <w:u w:val="none"/>
          <w:lang w:val="en-US" w:eastAsia="zh-CN" w:bidi="ar"/>
        </w:rPr>
        <w:t>≥95%。计划2023年完成2个训练基地建设，实际完成1个训练基地建设。</w:t>
      </w:r>
      <w:r>
        <w:rPr>
          <w:rFonts w:hint="eastAsia" w:ascii="仿宋_GB2312" w:hAnsi="仿宋_GB2312" w:cs="仿宋_GB2312"/>
          <w:color w:val="auto"/>
          <w:sz w:val="32"/>
          <w:szCs w:val="32"/>
          <w:lang w:val="en-US" w:eastAsia="zh-CN"/>
        </w:rPr>
        <w:t>设备验收合格率</w:t>
      </w:r>
      <w:r>
        <w:rPr>
          <w:rFonts w:hint="eastAsia" w:ascii="仿宋_GB2312" w:hAnsi="仿宋_GB2312" w:cs="仿宋_GB2312"/>
          <w:i w:val="0"/>
          <w:iCs w:val="0"/>
          <w:color w:val="auto"/>
          <w:spacing w:val="0"/>
          <w:kern w:val="0"/>
          <w:sz w:val="32"/>
          <w:szCs w:val="32"/>
          <w:highlight w:val="none"/>
          <w:u w:val="none"/>
          <w:lang w:val="en-US" w:eastAsia="zh-CN" w:bidi="ar"/>
        </w:rPr>
        <w:t>≥50%。</w:t>
      </w:r>
      <w:r>
        <w:rPr>
          <w:rFonts w:hint="eastAsia" w:ascii="仿宋_GB2312" w:hAnsi="仿宋_GB2312" w:cs="仿宋_GB2312"/>
          <w:b w:val="0"/>
          <w:bCs w:val="0"/>
          <w:snapToGrid w:val="0"/>
          <w:color w:val="auto"/>
          <w:kern w:val="0"/>
          <w:sz w:val="32"/>
          <w:szCs w:val="32"/>
          <w:lang w:val="en-US" w:eastAsia="zh-CN"/>
        </w:rPr>
        <w:t>该指标分值2.8分，自评</w:t>
      </w:r>
      <w:r>
        <w:rPr>
          <w:rFonts w:hint="eastAsia" w:ascii="仿宋_GB2312" w:hAnsi="仿宋_GB2312" w:cs="仿宋_GB2312"/>
          <w:b w:val="0"/>
          <w:bCs w:val="0"/>
          <w:snapToGrid w:val="0"/>
          <w:color w:val="auto"/>
          <w:kern w:val="0"/>
          <w:sz w:val="32"/>
          <w:szCs w:val="32"/>
          <w:highlight w:val="none"/>
          <w:lang w:val="en-US" w:eastAsia="zh-CN"/>
        </w:rPr>
        <w:t>得分1.4分。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i w:val="0"/>
          <w:iCs w:val="0"/>
          <w:color w:val="auto"/>
          <w:spacing w:val="0"/>
          <w:kern w:val="0"/>
          <w:sz w:val="32"/>
          <w:szCs w:val="32"/>
          <w:highlight w:val="none"/>
          <w:u w:val="none"/>
          <w:lang w:val="en-US" w:eastAsia="zh-CN" w:bidi="ar"/>
        </w:rPr>
      </w:pPr>
      <w:r>
        <w:rPr>
          <w:rFonts w:hint="eastAsia" w:ascii="仿宋_GB2312" w:hAnsi="仿宋_GB2312" w:cs="仿宋_GB2312"/>
          <w:color w:val="auto"/>
          <w:sz w:val="32"/>
          <w:szCs w:val="32"/>
          <w:lang w:val="en-US" w:eastAsia="zh-CN"/>
        </w:rPr>
        <w:t>（9）青训中心建设完成率。</w:t>
      </w:r>
      <w:r>
        <w:rPr>
          <w:rFonts w:hint="eastAsia" w:ascii="仿宋_GB2312" w:hAnsi="仿宋_GB2312" w:cs="仿宋_GB2312"/>
          <w:i w:val="0"/>
          <w:iCs w:val="0"/>
          <w:color w:val="auto"/>
          <w:spacing w:val="0"/>
          <w:kern w:val="0"/>
          <w:sz w:val="32"/>
          <w:szCs w:val="32"/>
          <w:u w:val="none"/>
          <w:lang w:val="en-US" w:eastAsia="zh-CN" w:bidi="ar"/>
        </w:rPr>
        <w:t>2023年计划</w:t>
      </w:r>
      <w:r>
        <w:rPr>
          <w:rFonts w:hint="eastAsia" w:ascii="仿宋_GB2312" w:hAnsi="仿宋_GB2312" w:cs="仿宋_GB2312"/>
          <w:color w:val="auto"/>
          <w:sz w:val="32"/>
          <w:szCs w:val="32"/>
          <w:lang w:val="en-US" w:eastAsia="zh-CN"/>
        </w:rPr>
        <w:t>青训中心建设完成率</w:t>
      </w:r>
      <w:r>
        <w:rPr>
          <w:rFonts w:hint="eastAsia" w:ascii="仿宋_GB2312" w:hAnsi="仿宋_GB2312" w:cs="仿宋_GB2312"/>
          <w:i w:val="0"/>
          <w:iCs w:val="0"/>
          <w:color w:val="auto"/>
          <w:spacing w:val="0"/>
          <w:kern w:val="0"/>
          <w:sz w:val="32"/>
          <w:szCs w:val="32"/>
          <w:highlight w:val="none"/>
          <w:u w:val="none"/>
          <w:lang w:val="en-US" w:eastAsia="zh-CN" w:bidi="ar"/>
        </w:rPr>
        <w:t>≥85%。</w:t>
      </w:r>
      <w:r>
        <w:rPr>
          <w:rFonts w:hint="eastAsia" w:ascii="仿宋_GB2312" w:hAnsi="仿宋_GB2312" w:cs="仿宋_GB2312"/>
          <w:i w:val="0"/>
          <w:iCs w:val="0"/>
          <w:color w:val="auto"/>
          <w:spacing w:val="0"/>
          <w:kern w:val="0"/>
          <w:sz w:val="32"/>
          <w:szCs w:val="32"/>
          <w:u w:val="none"/>
          <w:lang w:val="en-US" w:eastAsia="zh-CN" w:bidi="ar"/>
        </w:rPr>
        <w:t>广东省奥林匹克体育中心积极推进“青少年体育训练中心”的建设及运行，积极推动网球、篮球两个青训试点项目，并逐步完善“青少年体育训练中心”的相关制度建设；肇庆市购买击剑、柔道、体操等器材，补充青训中心所需；揭阳市完成青训中心建设的前期工作，包括场馆灯光改造，场馆空调购置和体育器材购买等。</w:t>
      </w:r>
      <w:r>
        <w:rPr>
          <w:rFonts w:hint="eastAsia" w:ascii="仿宋_GB2312" w:hAnsi="仿宋_GB2312" w:cs="仿宋_GB2312"/>
          <w:color w:val="auto"/>
          <w:sz w:val="32"/>
          <w:szCs w:val="32"/>
          <w:lang w:val="en-US" w:eastAsia="zh-CN"/>
        </w:rPr>
        <w:t>已按期完成3个青训中心建设，完成</w:t>
      </w:r>
      <w:r>
        <w:rPr>
          <w:rFonts w:hint="eastAsia" w:ascii="仿宋_GB2312" w:hAnsi="仿宋_GB2312" w:cs="仿宋_GB2312"/>
          <w:color w:val="auto"/>
          <w:sz w:val="32"/>
          <w:szCs w:val="32"/>
          <w:highlight w:val="none"/>
          <w:lang w:val="en-US" w:eastAsia="zh-CN"/>
        </w:rPr>
        <w:t>率</w:t>
      </w:r>
      <w:r>
        <w:rPr>
          <w:rFonts w:hint="eastAsia" w:ascii="仿宋_GB2312" w:hAnsi="仿宋_GB2312" w:cs="仿宋_GB2312"/>
          <w:i w:val="0"/>
          <w:iCs w:val="0"/>
          <w:color w:val="auto"/>
          <w:spacing w:val="0"/>
          <w:kern w:val="0"/>
          <w:sz w:val="32"/>
          <w:szCs w:val="32"/>
          <w:highlight w:val="none"/>
          <w:u w:val="none"/>
          <w:lang w:val="en-US" w:eastAsia="zh-CN" w:bidi="ar"/>
        </w:rPr>
        <w:t>≥100%。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i w:val="0"/>
          <w:iCs w:val="0"/>
          <w:color w:val="auto"/>
          <w:spacing w:val="0"/>
          <w:kern w:val="0"/>
          <w:sz w:val="32"/>
          <w:szCs w:val="32"/>
          <w:u w:val="none"/>
          <w:lang w:val="en-US" w:eastAsia="zh-CN" w:bidi="ar"/>
        </w:rPr>
        <w:t>赛事和活动任务完成率</w:t>
      </w:r>
      <w:r>
        <w:rPr>
          <w:rFonts w:hint="eastAsia" w:ascii="仿宋_GB2312" w:hAnsi="仿宋_GB2312" w:cs="仿宋_GB2312"/>
          <w:i w:val="0"/>
          <w:iCs w:val="0"/>
          <w:color w:val="auto"/>
          <w:spacing w:val="0"/>
          <w:kern w:val="0"/>
          <w:sz w:val="32"/>
          <w:szCs w:val="32"/>
          <w:u w:val="none"/>
          <w:lang w:val="en-US" w:eastAsia="zh-CN" w:bidi="ar"/>
        </w:rPr>
        <w:t>。该指标值</w:t>
      </w:r>
      <w:r>
        <w:rPr>
          <w:rFonts w:hint="eastAsia" w:ascii="仿宋_GB2312" w:hAnsi="仿宋_GB2312" w:cs="仿宋_GB2312"/>
          <w:i w:val="0"/>
          <w:iCs w:val="0"/>
          <w:color w:val="auto"/>
          <w:spacing w:val="0"/>
          <w:kern w:val="0"/>
          <w:sz w:val="32"/>
          <w:szCs w:val="32"/>
          <w:highlight w:val="none"/>
          <w:u w:val="none"/>
          <w:lang w:val="en-US" w:eastAsia="zh-CN" w:bidi="ar"/>
        </w:rPr>
        <w:t>≥95%，</w:t>
      </w:r>
      <w:r>
        <w:rPr>
          <w:rFonts w:hint="eastAsia" w:ascii="仿宋_GB2312" w:hAnsi="仿宋_GB2312" w:eastAsia="仿宋_GB2312" w:cs="仿宋_GB2312"/>
          <w:color w:val="auto"/>
          <w:sz w:val="32"/>
          <w:szCs w:val="32"/>
          <w:lang w:val="en-US" w:eastAsia="zh-CN"/>
        </w:rPr>
        <w:t>第一届全国全民健身大会因总局群体司通知，2023年暂缓举办。其他赛事和活动</w:t>
      </w:r>
      <w:r>
        <w:rPr>
          <w:rFonts w:hint="eastAsia" w:ascii="仿宋_GB2312" w:hAnsi="仿宋_GB2312" w:cs="仿宋_GB2312"/>
          <w:color w:val="auto"/>
          <w:sz w:val="32"/>
          <w:szCs w:val="32"/>
          <w:lang w:val="en-US" w:eastAsia="zh-CN"/>
        </w:rPr>
        <w:t>基本完成，</w:t>
      </w:r>
      <w:r>
        <w:rPr>
          <w:rFonts w:hint="eastAsia" w:ascii="仿宋_GB2312" w:hAnsi="仿宋_GB2312" w:eastAsia="仿宋_GB2312" w:cs="仿宋_GB2312"/>
          <w:color w:val="auto"/>
          <w:sz w:val="32"/>
          <w:szCs w:val="32"/>
          <w:lang w:val="en-US" w:eastAsia="zh-CN"/>
        </w:rPr>
        <w:t>完成赛事和活动</w:t>
      </w:r>
      <w:r>
        <w:rPr>
          <w:rFonts w:hint="eastAsia" w:ascii="仿宋_GB2312" w:hAnsi="仿宋_GB2312" w:cs="仿宋_GB2312"/>
          <w:color w:val="auto"/>
          <w:sz w:val="32"/>
          <w:szCs w:val="32"/>
          <w:lang w:val="en-US" w:eastAsia="zh-CN"/>
        </w:rPr>
        <w:t>数量</w:t>
      </w:r>
      <w:r>
        <w:rPr>
          <w:rFonts w:hint="eastAsia" w:ascii="仿宋_GB2312" w:hAnsi="仿宋_GB2312" w:eastAsia="仿宋_GB2312" w:cs="仿宋_GB2312"/>
          <w:color w:val="auto"/>
          <w:sz w:val="32"/>
          <w:szCs w:val="32"/>
          <w:lang w:val="en-US" w:eastAsia="zh-CN"/>
        </w:rPr>
        <w:t>是</w:t>
      </w:r>
      <w:r>
        <w:rPr>
          <w:rFonts w:hint="eastAsia" w:ascii="仿宋_GB2312" w:hAnsi="仿宋_GB2312" w:cs="仿宋_GB2312"/>
          <w:color w:val="auto"/>
          <w:sz w:val="32"/>
          <w:szCs w:val="32"/>
          <w:lang w:val="en-US" w:eastAsia="zh-CN"/>
        </w:rPr>
        <w:t>670场次</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指</w:t>
      </w:r>
      <w:r>
        <w:rPr>
          <w:rFonts w:hint="eastAsia" w:ascii="仿宋_GB2312" w:hAnsi="仿宋_GB2312" w:eastAsia="仿宋_GB2312" w:cs="仿宋_GB2312"/>
          <w:color w:val="auto"/>
          <w:sz w:val="32"/>
          <w:szCs w:val="32"/>
          <w:lang w:val="en-US" w:eastAsia="zh-CN"/>
        </w:rPr>
        <w:t>标值</w:t>
      </w:r>
      <w:r>
        <w:rPr>
          <w:rFonts w:hint="eastAsia" w:ascii="仿宋_GB2312" w:hAnsi="仿宋_GB2312" w:cs="仿宋_GB2312"/>
          <w:color w:val="auto"/>
          <w:sz w:val="32"/>
          <w:szCs w:val="32"/>
          <w:lang w:val="en-US" w:eastAsia="zh-CN"/>
        </w:rPr>
        <w:t>≥408场次</w:t>
      </w:r>
      <w:r>
        <w:rPr>
          <w:rFonts w:hint="eastAsia" w:ascii="仿宋_GB2312" w:hAnsi="仿宋_GB2312" w:eastAsia="仿宋_GB2312" w:cs="仿宋_GB2312"/>
          <w:color w:val="auto"/>
          <w:sz w:val="32"/>
          <w:szCs w:val="32"/>
          <w:lang w:val="en-US" w:eastAsia="zh-CN"/>
        </w:rPr>
        <w:t>，完成率</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b w:val="0"/>
          <w:bCs w:val="0"/>
          <w:snapToGrid w:val="0"/>
          <w:color w:val="auto"/>
          <w:kern w:val="0"/>
          <w:sz w:val="32"/>
          <w:szCs w:val="32"/>
          <w:lang w:val="en-US" w:eastAsia="zh-CN"/>
        </w:rPr>
        <w:t>该指标分值4.2分，自评</w:t>
      </w:r>
      <w:r>
        <w:rPr>
          <w:rFonts w:hint="eastAsia" w:ascii="仿宋_GB2312" w:hAnsi="仿宋_GB2312" w:cs="仿宋_GB2312"/>
          <w:b w:val="0"/>
          <w:bCs w:val="0"/>
          <w:snapToGrid w:val="0"/>
          <w:color w:val="auto"/>
          <w:kern w:val="0"/>
          <w:sz w:val="32"/>
          <w:szCs w:val="32"/>
          <w:highlight w:val="none"/>
          <w:lang w:val="en-US" w:eastAsia="zh-CN"/>
        </w:rPr>
        <w:t>得分4.2分。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（11）赛事和活动任务完成及时率。</w:t>
      </w:r>
      <w:r>
        <w:rPr>
          <w:rFonts w:hint="eastAsia" w:ascii="仿宋_GB2312" w:hAnsi="仿宋_GB2312" w:cs="仿宋_GB2312"/>
          <w:i w:val="0"/>
          <w:iCs w:val="0"/>
          <w:color w:val="auto"/>
          <w:spacing w:val="0"/>
          <w:kern w:val="0"/>
          <w:sz w:val="32"/>
          <w:szCs w:val="32"/>
          <w:u w:val="none"/>
          <w:lang w:val="en-US" w:eastAsia="zh-CN" w:bidi="ar"/>
        </w:rPr>
        <w:t>该指标值</w:t>
      </w:r>
      <w:r>
        <w:rPr>
          <w:rFonts w:hint="eastAsia" w:ascii="仿宋_GB2312" w:hAnsi="仿宋_GB2312" w:cs="仿宋_GB2312"/>
          <w:i w:val="0"/>
          <w:iCs w:val="0"/>
          <w:color w:val="auto"/>
          <w:spacing w:val="0"/>
          <w:kern w:val="0"/>
          <w:sz w:val="32"/>
          <w:szCs w:val="32"/>
          <w:highlight w:val="none"/>
          <w:u w:val="none"/>
          <w:lang w:val="en-US" w:eastAsia="zh-CN" w:bidi="ar"/>
        </w:rPr>
        <w:t>≥90%，</w:t>
      </w:r>
      <w:r>
        <w:rPr>
          <w:rFonts w:hint="eastAsia" w:ascii="仿宋_GB2312" w:hAnsi="仿宋_GB2312" w:eastAsia="仿宋_GB2312" w:cs="仿宋_GB2312"/>
          <w:color w:val="auto"/>
          <w:sz w:val="32"/>
          <w:szCs w:val="32"/>
          <w:lang w:val="en-US" w:eastAsia="zh-CN"/>
        </w:rPr>
        <w:t>计划2023年完成赛事和活动任务≥408场次，实际2023年完成67</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场次</w:t>
      </w:r>
      <w:r>
        <w:rPr>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val="en-US" w:eastAsia="zh-CN"/>
        </w:rPr>
        <w:t>完成及时率100%</w:t>
      </w:r>
      <w:r>
        <w:rPr>
          <w:rFonts w:hint="eastAsia" w:ascii="仿宋_GB2312" w:hAnsi="仿宋_GB2312" w:eastAsia="仿宋_GB2312" w:cs="仿宋_GB2312"/>
          <w:color w:val="auto"/>
          <w:sz w:val="32"/>
          <w:szCs w:val="32"/>
          <w:lang w:val="en-US" w:eastAsia="zh-CN"/>
        </w:rPr>
        <w:t>。第一届全国全民健身大会因总局群体司通知，2023年暂缓举办。</w:t>
      </w:r>
      <w:r>
        <w:rPr>
          <w:rFonts w:hint="eastAsia" w:ascii="仿宋_GB2312" w:hAnsi="仿宋_GB2312" w:cs="仿宋_GB2312"/>
          <w:b w:val="0"/>
          <w:bCs w:val="0"/>
          <w:snapToGrid w:val="0"/>
          <w:color w:val="auto"/>
          <w:kern w:val="0"/>
          <w:sz w:val="32"/>
          <w:szCs w:val="32"/>
          <w:lang w:val="en-US" w:eastAsia="zh-CN"/>
        </w:rPr>
        <w:t>该指标分值4.2分，自评</w:t>
      </w:r>
      <w:r>
        <w:rPr>
          <w:rFonts w:hint="eastAsia" w:ascii="仿宋_GB2312" w:hAnsi="仿宋_GB2312" w:cs="仿宋_GB2312"/>
          <w:b w:val="0"/>
          <w:bCs w:val="0"/>
          <w:snapToGrid w:val="0"/>
          <w:color w:val="auto"/>
          <w:kern w:val="0"/>
          <w:sz w:val="32"/>
          <w:szCs w:val="32"/>
          <w:highlight w:val="none"/>
          <w:lang w:val="en-US" w:eastAsia="zh-CN"/>
        </w:rPr>
        <w:t>得分4.2分。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i w:val="0"/>
          <w:iCs w:val="0"/>
          <w:color w:val="auto"/>
          <w:spacing w:val="0"/>
          <w:kern w:val="0"/>
          <w:sz w:val="32"/>
          <w:szCs w:val="32"/>
          <w:u w:val="none"/>
          <w:lang w:val="en-US" w:eastAsia="zh-CN" w:bidi="ar"/>
        </w:rPr>
        <w:t>（12）</w:t>
      </w:r>
      <w:r>
        <w:rPr>
          <w:rFonts w:hint="eastAsia" w:ascii="仿宋_GB2312" w:hAnsi="仿宋_GB2312" w:eastAsia="仿宋_GB2312" w:cs="仿宋_GB2312"/>
          <w:i w:val="0"/>
          <w:iCs w:val="0"/>
          <w:color w:val="auto"/>
          <w:spacing w:val="0"/>
          <w:kern w:val="0"/>
          <w:sz w:val="32"/>
          <w:szCs w:val="32"/>
          <w:u w:val="none"/>
          <w:lang w:val="en-US" w:eastAsia="zh-CN" w:bidi="ar"/>
        </w:rPr>
        <w:t>对群众体育可持续发展的影响程度</w:t>
      </w:r>
      <w:r>
        <w:rPr>
          <w:rFonts w:hint="eastAsia" w:ascii="仿宋_GB2312" w:hAnsi="仿宋_GB2312" w:cs="仿宋_GB2312"/>
          <w:i w:val="0"/>
          <w:iCs w:val="0"/>
          <w:color w:val="auto"/>
          <w:spacing w:val="0"/>
          <w:kern w:val="0"/>
          <w:sz w:val="32"/>
          <w:szCs w:val="32"/>
          <w:u w:val="none"/>
          <w:lang w:val="en-US" w:eastAsia="zh-CN" w:bidi="ar"/>
        </w:rPr>
        <w:t>。该指标值≥9分，省体育局为</w:t>
      </w:r>
      <w:r>
        <w:rPr>
          <w:rFonts w:hint="eastAsia" w:ascii="仿宋_GB2312" w:hAnsi="仿宋_GB2312" w:eastAsia="仿宋_GB2312" w:cs="仿宋_GB2312"/>
          <w:i w:val="0"/>
          <w:iCs w:val="0"/>
          <w:color w:val="auto"/>
          <w:spacing w:val="0"/>
          <w:kern w:val="0"/>
          <w:sz w:val="32"/>
          <w:szCs w:val="32"/>
          <w:u w:val="none"/>
          <w:lang w:val="en-US" w:eastAsia="zh-CN" w:bidi="ar"/>
        </w:rPr>
        <w:t>增强广大群众参与</w:t>
      </w:r>
      <w:r>
        <w:rPr>
          <w:rFonts w:hint="eastAsia" w:ascii="仿宋_GB2312" w:hAnsi="仿宋_GB2312" w:cs="仿宋_GB2312"/>
          <w:i w:val="0"/>
          <w:iCs w:val="0"/>
          <w:color w:val="auto"/>
          <w:spacing w:val="0"/>
          <w:kern w:val="0"/>
          <w:sz w:val="32"/>
          <w:szCs w:val="32"/>
          <w:u w:val="none"/>
          <w:lang w:val="en-US" w:eastAsia="zh-CN" w:bidi="ar"/>
        </w:rPr>
        <w:t>全民健身</w:t>
      </w:r>
      <w:r>
        <w:rPr>
          <w:rFonts w:hint="eastAsia" w:ascii="仿宋_GB2312" w:hAnsi="仿宋_GB2312" w:eastAsia="仿宋_GB2312" w:cs="仿宋_GB2312"/>
          <w:i w:val="0"/>
          <w:iCs w:val="0"/>
          <w:color w:val="auto"/>
          <w:spacing w:val="0"/>
          <w:kern w:val="0"/>
          <w:sz w:val="32"/>
          <w:szCs w:val="32"/>
          <w:u w:val="none"/>
          <w:lang w:val="en-US" w:eastAsia="zh-CN" w:bidi="ar"/>
        </w:rPr>
        <w:t>的意识</w:t>
      </w:r>
      <w:r>
        <w:rPr>
          <w:rFonts w:hint="eastAsia" w:ascii="仿宋_GB2312" w:hAnsi="仿宋_GB2312" w:eastAsia="仿宋_GB2312" w:cs="仿宋_GB2312"/>
          <w:color w:val="auto"/>
          <w:sz w:val="32"/>
          <w:lang w:val="en-US" w:eastAsia="zh-CN"/>
        </w:rPr>
        <w:t>，通过举办丰富多彩的赛事活动，带动更多</w:t>
      </w:r>
      <w:r>
        <w:rPr>
          <w:rFonts w:hint="eastAsia" w:ascii="仿宋_GB2312" w:hAnsi="仿宋_GB2312" w:cs="仿宋_GB2312"/>
          <w:color w:val="auto"/>
          <w:sz w:val="32"/>
          <w:lang w:val="en-US" w:eastAsia="zh-CN"/>
        </w:rPr>
        <w:t>群众</w:t>
      </w:r>
      <w:r>
        <w:rPr>
          <w:rFonts w:hint="eastAsia" w:ascii="仿宋_GB2312" w:hAnsi="仿宋_GB2312" w:eastAsia="仿宋_GB2312" w:cs="仿宋_GB2312"/>
          <w:color w:val="auto"/>
          <w:sz w:val="32"/>
          <w:lang w:val="en-US" w:eastAsia="zh-CN"/>
        </w:rPr>
        <w:t>参与到全民健身中。以“社区运动会”为例，省体育局在实践过程中把社区运动会融入居民生产生活</w:t>
      </w:r>
      <w:r>
        <w:rPr>
          <w:rFonts w:hint="eastAsia" w:ascii="仿宋_GB2312" w:hAnsi="仿宋_GB2312" w:cs="仿宋_GB2312"/>
          <w:color w:val="auto"/>
          <w:sz w:val="32"/>
          <w:lang w:val="en-US" w:eastAsia="zh-CN"/>
        </w:rPr>
        <w:t>中，开展各地市、县及县以下社区运动会，</w:t>
      </w:r>
      <w:r>
        <w:rPr>
          <w:rFonts w:hint="eastAsia" w:ascii="仿宋_GB2312" w:hAnsi="仿宋_GB2312" w:eastAsia="仿宋_GB2312" w:cs="仿宋_GB2312"/>
          <w:color w:val="auto"/>
          <w:sz w:val="32"/>
          <w:lang w:val="en-US" w:eastAsia="zh-CN"/>
        </w:rPr>
        <w:t>为把</w:t>
      </w:r>
      <w:r>
        <w:rPr>
          <w:rFonts w:hint="eastAsia" w:ascii="仿宋_GB2312" w:hAnsi="仿宋_GB2312" w:cs="仿宋_GB2312"/>
          <w:color w:val="auto"/>
          <w:sz w:val="32"/>
          <w:lang w:val="en-US" w:eastAsia="zh-CN"/>
        </w:rPr>
        <w:t>活动</w:t>
      </w:r>
      <w:r>
        <w:rPr>
          <w:rFonts w:hint="eastAsia" w:ascii="仿宋_GB2312" w:hAnsi="仿宋_GB2312" w:eastAsia="仿宋_GB2312" w:cs="仿宋_GB2312"/>
          <w:color w:val="auto"/>
          <w:sz w:val="32"/>
          <w:lang w:val="en-US" w:eastAsia="zh-CN"/>
        </w:rPr>
        <w:t>办到群众心坎上，各地</w:t>
      </w:r>
      <w:r>
        <w:rPr>
          <w:rFonts w:hint="eastAsia" w:ascii="仿宋_GB2312" w:hAnsi="仿宋_GB2312" w:cs="仿宋_GB2312"/>
          <w:i w:val="0"/>
          <w:iCs w:val="0"/>
          <w:color w:val="auto"/>
          <w:spacing w:val="0"/>
          <w:kern w:val="0"/>
          <w:sz w:val="32"/>
          <w:szCs w:val="32"/>
          <w:u w:val="none"/>
          <w:lang w:val="en-US" w:eastAsia="zh-CN" w:bidi="ar"/>
        </w:rPr>
        <w:t>活动</w:t>
      </w:r>
      <w:r>
        <w:rPr>
          <w:rFonts w:hint="eastAsia" w:ascii="仿宋_GB2312" w:hAnsi="仿宋_GB2312" w:eastAsia="仿宋_GB2312" w:cs="仿宋_GB2312"/>
          <w:i w:val="0"/>
          <w:iCs w:val="0"/>
          <w:color w:val="auto"/>
          <w:spacing w:val="0"/>
          <w:kern w:val="0"/>
          <w:sz w:val="32"/>
          <w:szCs w:val="32"/>
          <w:u w:val="none"/>
          <w:lang w:val="en-US" w:eastAsia="zh-CN" w:bidi="ar"/>
        </w:rPr>
        <w:t>主题丰富、场景多元、充满趣味，</w:t>
      </w:r>
      <w:r>
        <w:rPr>
          <w:rFonts w:hint="eastAsia" w:ascii="仿宋_GB2312" w:hAnsi="仿宋_GB2312" w:eastAsia="仿宋_GB2312" w:cs="仿宋_GB2312"/>
          <w:color w:val="auto"/>
          <w:sz w:val="32"/>
          <w:lang w:val="en-US" w:eastAsia="zh-CN"/>
        </w:rPr>
        <w:t>有效推动全民健身工作高质量发展，</w:t>
      </w:r>
      <w:r>
        <w:rPr>
          <w:rFonts w:hint="eastAsia" w:ascii="仿宋_GB2312" w:hAnsi="仿宋_GB2312" w:eastAsia="仿宋_GB2312" w:cs="仿宋_GB2312"/>
          <w:i w:val="0"/>
          <w:iCs w:val="0"/>
          <w:color w:val="auto"/>
          <w:spacing w:val="0"/>
          <w:kern w:val="0"/>
          <w:sz w:val="32"/>
          <w:szCs w:val="32"/>
          <w:u w:val="none"/>
          <w:lang w:val="en-US" w:eastAsia="zh-CN" w:bidi="ar"/>
        </w:rPr>
        <w:t>进一步增强群众幸福感和获得感，</w:t>
      </w:r>
      <w:r>
        <w:rPr>
          <w:rFonts w:hint="eastAsia" w:ascii="仿宋_GB2312" w:hAnsi="仿宋_GB2312" w:eastAsia="仿宋_GB2312" w:cs="仿宋_GB2312"/>
          <w:color w:val="auto"/>
          <w:sz w:val="32"/>
          <w:szCs w:val="32"/>
          <w:lang w:val="en-US" w:eastAsia="zh-CN"/>
        </w:rPr>
        <w:t>对群众体育可持续发展起到很好</w:t>
      </w:r>
      <w:r>
        <w:rPr>
          <w:rFonts w:hint="eastAsia" w:ascii="仿宋_GB2312"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推动作用</w:t>
      </w:r>
      <w:r>
        <w:rPr>
          <w:rFonts w:hint="eastAsia" w:ascii="仿宋_GB2312" w:hAnsi="仿宋_GB2312" w:cs="仿宋_GB2312"/>
          <w:color w:val="auto"/>
          <w:sz w:val="32"/>
          <w:szCs w:val="32"/>
          <w:lang w:val="en-US" w:eastAsia="zh-CN"/>
        </w:rPr>
        <w:t>，完成值</w:t>
      </w:r>
      <w:r>
        <w:rPr>
          <w:rFonts w:hint="eastAsia" w:ascii="仿宋_GB2312" w:hAnsi="仿宋_GB2312" w:cs="仿宋_GB2312"/>
          <w:i w:val="0"/>
          <w:iCs w:val="0"/>
          <w:color w:val="auto"/>
          <w:spacing w:val="0"/>
          <w:kern w:val="0"/>
          <w:sz w:val="32"/>
          <w:szCs w:val="32"/>
          <w:u w:val="none"/>
          <w:lang w:val="en-US" w:eastAsia="zh-CN" w:bidi="ar"/>
        </w:rPr>
        <w:t>≥</w:t>
      </w:r>
      <w:r>
        <w:rPr>
          <w:rFonts w:hint="eastAsia" w:ascii="仿宋_GB2312" w:hAnsi="仿宋_GB2312" w:cs="仿宋_GB2312"/>
          <w:color w:val="auto"/>
          <w:sz w:val="32"/>
          <w:szCs w:val="32"/>
          <w:lang w:val="en-US" w:eastAsia="zh-CN"/>
        </w:rPr>
        <w:t>9分</w:t>
      </w:r>
      <w:r>
        <w:rPr>
          <w:rFonts w:hint="eastAsia" w:ascii="仿宋_GB2312" w:hAnsi="仿宋_GB2312" w:cs="仿宋_GB2312"/>
          <w:i w:val="0"/>
          <w:iCs w:val="0"/>
          <w:color w:val="auto"/>
          <w:spacing w:val="0"/>
          <w:kern w:val="0"/>
          <w:sz w:val="32"/>
          <w:szCs w:val="32"/>
          <w:u w:val="none"/>
          <w:lang w:val="en-US" w:eastAsia="zh-CN" w:bidi="ar"/>
        </w:rPr>
        <w:t>。</w:t>
      </w:r>
      <w:r>
        <w:rPr>
          <w:rFonts w:hint="eastAsia" w:ascii="仿宋_GB2312" w:hAnsi="仿宋_GB2312" w:cs="仿宋_GB2312"/>
          <w:b w:val="0"/>
          <w:bCs w:val="0"/>
          <w:snapToGrid w:val="0"/>
          <w:color w:val="auto"/>
          <w:kern w:val="0"/>
          <w:sz w:val="32"/>
          <w:szCs w:val="32"/>
          <w:lang w:val="en-US" w:eastAsia="zh-CN"/>
        </w:rPr>
        <w:t>该指标分值5分，自评</w:t>
      </w:r>
      <w:r>
        <w:rPr>
          <w:rFonts w:hint="eastAsia" w:ascii="仿宋_GB2312" w:hAnsi="仿宋_GB2312" w:cs="仿宋_GB2312"/>
          <w:b w:val="0"/>
          <w:bCs w:val="0"/>
          <w:snapToGrid w:val="0"/>
          <w:color w:val="auto"/>
          <w:kern w:val="0"/>
          <w:sz w:val="32"/>
          <w:szCs w:val="32"/>
          <w:highlight w:val="none"/>
          <w:lang w:val="en-US" w:eastAsia="zh-CN"/>
        </w:rPr>
        <w:t>得分5分。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（13）对竞技体育可持续发展的影响程度。</w:t>
      </w:r>
      <w:r>
        <w:rPr>
          <w:rFonts w:hint="eastAsia" w:ascii="仿宋_GB2312" w:hAnsi="仿宋_GB2312" w:cs="仿宋_GB2312"/>
          <w:i w:val="0"/>
          <w:iCs w:val="0"/>
          <w:color w:val="auto"/>
          <w:spacing w:val="0"/>
          <w:kern w:val="0"/>
          <w:sz w:val="32"/>
          <w:szCs w:val="32"/>
          <w:u w:val="none"/>
          <w:lang w:val="en-US" w:eastAsia="zh-CN" w:bidi="ar"/>
        </w:rPr>
        <w:t>该指标值≥8分，</w:t>
      </w:r>
      <w:r>
        <w:rPr>
          <w:rFonts w:hint="eastAsia" w:ascii="仿宋_GB2312" w:hAnsi="仿宋_GB2312" w:cs="仿宋_GB2312"/>
          <w:color w:val="auto"/>
          <w:sz w:val="32"/>
          <w:szCs w:val="32"/>
          <w:lang w:val="en-US" w:eastAsia="zh-CN"/>
        </w:rPr>
        <w:t>省体育局通过支持国家高水平体育训练基地建设和“体育泡泡”训练基地建设等措施，改善相关项目国家队训练基地条件。以“</w:t>
      </w:r>
      <w:r>
        <w:rPr>
          <w:rFonts w:hint="eastAsia" w:ascii="仿宋" w:hAnsi="仿宋" w:eastAsia="仿宋" w:cs="仿宋"/>
          <w:color w:val="auto"/>
          <w:sz w:val="32"/>
          <w:szCs w:val="32"/>
          <w:lang w:eastAsia="zh-CN"/>
        </w:rPr>
        <w:t>体育泡泡”训练基地建设</w:t>
      </w:r>
      <w:r>
        <w:rPr>
          <w:rFonts w:hint="eastAsia" w:ascii="仿宋_GB2312" w:hAnsi="仿宋_GB2312" w:cs="仿宋_GB2312"/>
          <w:color w:val="auto"/>
          <w:sz w:val="32"/>
          <w:szCs w:val="32"/>
          <w:lang w:val="en-US" w:eastAsia="zh-CN"/>
        </w:rPr>
        <w:t>为例，该经费为相关运动员提供了很好的日常集训、外训外赛保障，运动员比赛经验更加丰富，竞技水平也得到了进一步提升，对竞技体育可持续发展起到很好的推动作用</w:t>
      </w:r>
      <w:r>
        <w:rPr>
          <w:rFonts w:hint="eastAsia" w:ascii="仿宋_GB2312" w:hAnsi="仿宋_GB2312" w:cs="仿宋_GB2312"/>
          <w:color w:val="auto"/>
          <w:sz w:val="32"/>
          <w:szCs w:val="32"/>
          <w:lang w:val="en-US" w:eastAsia="zh-CN"/>
        </w:rPr>
        <w:t>，完成值</w:t>
      </w:r>
      <w:r>
        <w:rPr>
          <w:rFonts w:hint="eastAsia" w:ascii="仿宋_GB2312" w:hAnsi="仿宋_GB2312" w:cs="仿宋_GB2312"/>
          <w:i w:val="0"/>
          <w:iCs w:val="0"/>
          <w:color w:val="auto"/>
          <w:spacing w:val="0"/>
          <w:kern w:val="0"/>
          <w:sz w:val="32"/>
          <w:szCs w:val="32"/>
          <w:u w:val="none"/>
          <w:lang w:val="en-US" w:eastAsia="zh-CN" w:bidi="ar"/>
        </w:rPr>
        <w:t>≥</w:t>
      </w:r>
      <w:r>
        <w:rPr>
          <w:rFonts w:hint="eastAsia" w:ascii="仿宋_GB2312" w:hAnsi="仿宋_GB2312" w:cs="仿宋_GB2312"/>
          <w:color w:val="auto"/>
          <w:sz w:val="32"/>
          <w:szCs w:val="32"/>
          <w:lang w:val="en-US" w:eastAsia="zh-CN"/>
        </w:rPr>
        <w:t>8分</w:t>
      </w:r>
      <w:r>
        <w:rPr>
          <w:rFonts w:hint="eastAsia" w:ascii="仿宋_GB2312" w:hAnsi="仿宋_GB2312" w:cs="仿宋_GB2312"/>
          <w:color w:val="auto"/>
          <w:sz w:val="32"/>
          <w:szCs w:val="32"/>
          <w:lang w:val="en-US" w:eastAsia="zh-CN"/>
        </w:rPr>
        <w:t>。</w:t>
      </w:r>
      <w:r>
        <w:rPr>
          <w:rFonts w:hint="eastAsia" w:ascii="仿宋_GB2312" w:hAnsi="仿宋_GB2312" w:cs="仿宋_GB2312"/>
          <w:b w:val="0"/>
          <w:bCs w:val="0"/>
          <w:snapToGrid w:val="0"/>
          <w:color w:val="auto"/>
          <w:kern w:val="0"/>
          <w:sz w:val="32"/>
          <w:szCs w:val="32"/>
          <w:lang w:val="en-US" w:eastAsia="zh-CN"/>
        </w:rPr>
        <w:t>该指标分值5分，自评</w:t>
      </w:r>
      <w:r>
        <w:rPr>
          <w:rFonts w:hint="eastAsia" w:ascii="仿宋_GB2312" w:hAnsi="仿宋_GB2312" w:cs="仿宋_GB2312"/>
          <w:b w:val="0"/>
          <w:bCs w:val="0"/>
          <w:snapToGrid w:val="0"/>
          <w:color w:val="auto"/>
          <w:kern w:val="0"/>
          <w:sz w:val="32"/>
          <w:szCs w:val="32"/>
          <w:highlight w:val="none"/>
          <w:lang w:val="en-US" w:eastAsia="zh-CN"/>
        </w:rPr>
        <w:t>得分5分。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（14）对青少年体育可持续发展的影响程度。</w:t>
      </w:r>
      <w:r>
        <w:rPr>
          <w:rFonts w:hint="eastAsia" w:ascii="仿宋_GB2312" w:hAnsi="仿宋_GB2312" w:cs="仿宋_GB2312"/>
          <w:i w:val="0"/>
          <w:iCs w:val="0"/>
          <w:color w:val="auto"/>
          <w:spacing w:val="0"/>
          <w:kern w:val="0"/>
          <w:sz w:val="32"/>
          <w:szCs w:val="32"/>
          <w:u w:val="none"/>
          <w:lang w:val="en-US" w:eastAsia="zh-CN" w:bidi="ar"/>
        </w:rPr>
        <w:t>该指标值≥9分，</w:t>
      </w:r>
      <w:r>
        <w:rPr>
          <w:rFonts w:hint="eastAsia" w:ascii="仿宋_GB2312" w:hAnsi="仿宋_GB2312" w:cs="仿宋_GB2312"/>
          <w:color w:val="auto"/>
          <w:sz w:val="32"/>
          <w:szCs w:val="32"/>
          <w:lang w:val="en-US" w:eastAsia="zh-CN"/>
        </w:rPr>
        <w:t>省体育局积极创新多种模式，开展线上线下的青少年体育活</w:t>
      </w:r>
      <w:r>
        <w:rPr>
          <w:rFonts w:hint="eastAsia" w:ascii="仿宋_GB2312" w:hAnsi="仿宋_GB2312" w:eastAsia="仿宋_GB2312" w:cs="仿宋_GB2312"/>
          <w:color w:val="auto"/>
          <w:sz w:val="32"/>
          <w:szCs w:val="32"/>
          <w:lang w:val="en-US" w:eastAsia="zh-CN"/>
        </w:rPr>
        <w:t>动，以</w:t>
      </w:r>
      <w:r>
        <w:rPr>
          <w:rFonts w:hint="eastAsia" w:ascii="仿宋_GB2312" w:hAnsi="仿宋_GB2312" w:eastAsia="仿宋_GB2312" w:cs="仿宋_GB2312"/>
          <w:color w:val="auto"/>
          <w:sz w:val="32"/>
          <w:szCs w:val="32"/>
          <w:lang w:val="en-US" w:eastAsia="zh-CN"/>
        </w:rPr>
        <w:t>“奔跑吧少年”</w:t>
      </w:r>
      <w:r>
        <w:rPr>
          <w:rFonts w:hint="eastAsia" w:ascii="仿宋_GB2312" w:hAnsi="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为例，省体育局</w:t>
      </w:r>
      <w:r>
        <w:rPr>
          <w:rFonts w:hint="eastAsia" w:ascii="仿宋_GB2312" w:hAnsi="仿宋_GB2312" w:cs="仿宋_GB2312"/>
          <w:color w:val="auto"/>
          <w:sz w:val="32"/>
          <w:szCs w:val="32"/>
          <w:lang w:val="en-US" w:eastAsia="zh-CN"/>
        </w:rPr>
        <w:t>通过与教育部门一起主办，委托协会开展项目进校园体育技能培训，开展青少年体育冬夏令营和预防学生溺水等活动。共</w:t>
      </w:r>
      <w:r>
        <w:rPr>
          <w:rFonts w:hint="eastAsia" w:ascii="仿宋_GB2312" w:hAnsi="仿宋_GB2312" w:eastAsia="仿宋_GB2312" w:cs="仿宋_GB2312"/>
          <w:color w:val="auto"/>
          <w:sz w:val="32"/>
          <w:szCs w:val="32"/>
          <w:lang w:val="en-US" w:eastAsia="zh-CN"/>
        </w:rPr>
        <w:t>超过</w:t>
      </w:r>
      <w:r>
        <w:rPr>
          <w:rFonts w:hint="eastAsia" w:ascii="仿宋_GB2312" w:hAnsi="仿宋_GB2312" w:cs="仿宋_GB2312"/>
          <w:color w:val="auto"/>
          <w:sz w:val="32"/>
          <w:szCs w:val="32"/>
          <w:lang w:val="en-US" w:eastAsia="zh-CN"/>
        </w:rPr>
        <w:t>158</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lang w:val="en-US" w:eastAsia="zh-CN"/>
        </w:rPr>
        <w:t>学生和家庭参与</w:t>
      </w:r>
      <w:r>
        <w:rPr>
          <w:rFonts w:hint="eastAsia" w:ascii="仿宋_GB2312" w:hAnsi="仿宋_GB2312" w:cs="仿宋_GB2312"/>
          <w:color w:val="auto"/>
          <w:sz w:val="32"/>
          <w:szCs w:val="32"/>
          <w:lang w:val="en-US" w:eastAsia="zh-CN"/>
        </w:rPr>
        <w:t>（含线上线下）</w:t>
      </w:r>
      <w:r>
        <w:rPr>
          <w:rFonts w:hint="eastAsia" w:ascii="仿宋_GB2312" w:hAnsi="仿宋_GB2312" w:eastAsia="仿宋_GB2312" w:cs="仿宋_GB2312"/>
          <w:color w:val="auto"/>
          <w:sz w:val="32"/>
          <w:szCs w:val="32"/>
          <w:lang w:val="en-US" w:eastAsia="zh-CN"/>
        </w:rPr>
        <w:t>，营造了浓厚的</w:t>
      </w:r>
      <w:r>
        <w:rPr>
          <w:rFonts w:hint="eastAsia" w:ascii="仿宋_GB2312" w:hAnsi="仿宋_GB2312" w:cs="仿宋_GB2312"/>
          <w:color w:val="auto"/>
          <w:sz w:val="32"/>
          <w:szCs w:val="32"/>
          <w:lang w:val="en-US" w:eastAsia="zh-CN"/>
        </w:rPr>
        <w:t>“学游泳、防溺水、懂自救、强身体”的社会氛围</w:t>
      </w:r>
      <w:r>
        <w:rPr>
          <w:rFonts w:hint="eastAsia" w:ascii="仿宋_GB2312" w:hAnsi="仿宋_GB2312" w:eastAsia="仿宋_GB2312" w:cs="仿宋_GB2312"/>
          <w:color w:val="auto"/>
          <w:sz w:val="32"/>
          <w:szCs w:val="32"/>
          <w:lang w:val="en-US" w:eastAsia="zh-CN"/>
        </w:rPr>
        <w:t>和</w:t>
      </w:r>
      <w:r>
        <w:rPr>
          <w:rFonts w:hint="eastAsia" w:ascii="仿宋_GB2312" w:hAnsi="仿宋_GB2312" w:cs="仿宋_GB2312"/>
          <w:color w:val="auto"/>
          <w:sz w:val="32"/>
          <w:szCs w:val="32"/>
          <w:lang w:val="en-US" w:eastAsia="zh-CN"/>
        </w:rPr>
        <w:t>养成热爱体育的兴趣</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也培养了青少年的团队合作精神、顽强的意志品质和不甘落后的竞争意识。</w:t>
      </w:r>
      <w:r>
        <w:rPr>
          <w:rFonts w:hint="eastAsia" w:ascii="仿宋_GB2312" w:hAnsi="仿宋_GB2312" w:eastAsia="仿宋_GB2312" w:cs="仿宋_GB2312"/>
          <w:color w:val="auto"/>
          <w:sz w:val="32"/>
          <w:szCs w:val="32"/>
          <w:lang w:val="en-US" w:eastAsia="zh-CN"/>
        </w:rPr>
        <w:t>超过活动的预期效果，对青少年</w:t>
      </w:r>
      <w:r>
        <w:rPr>
          <w:rFonts w:hint="eastAsia" w:ascii="仿宋_GB2312" w:hAnsi="仿宋_GB2312" w:cs="仿宋_GB2312"/>
          <w:color w:val="auto"/>
          <w:sz w:val="32"/>
          <w:szCs w:val="32"/>
          <w:lang w:val="en-US" w:eastAsia="zh-CN"/>
        </w:rPr>
        <w:t>体育</w:t>
      </w:r>
      <w:r>
        <w:rPr>
          <w:rFonts w:hint="eastAsia" w:ascii="仿宋_GB2312" w:hAnsi="仿宋_GB2312" w:eastAsia="仿宋_GB2312" w:cs="仿宋_GB2312"/>
          <w:color w:val="auto"/>
          <w:sz w:val="32"/>
          <w:szCs w:val="32"/>
          <w:lang w:val="en-US" w:eastAsia="zh-CN"/>
        </w:rPr>
        <w:t>可持续发展起到很好</w:t>
      </w:r>
      <w:r>
        <w:rPr>
          <w:rFonts w:hint="eastAsia" w:ascii="仿宋_GB2312"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推动作用</w:t>
      </w:r>
      <w:r>
        <w:rPr>
          <w:rFonts w:hint="eastAsia" w:ascii="仿宋_GB2312" w:hAnsi="仿宋_GB2312" w:cs="仿宋_GB2312"/>
          <w:color w:val="auto"/>
          <w:sz w:val="32"/>
          <w:szCs w:val="32"/>
          <w:lang w:val="en-US" w:eastAsia="zh-CN"/>
        </w:rPr>
        <w:t>，完成值</w:t>
      </w:r>
      <w:r>
        <w:rPr>
          <w:rFonts w:hint="eastAsia" w:ascii="仿宋_GB2312" w:hAnsi="仿宋_GB2312" w:cs="仿宋_GB2312"/>
          <w:i w:val="0"/>
          <w:iCs w:val="0"/>
          <w:color w:val="auto"/>
          <w:spacing w:val="0"/>
          <w:kern w:val="0"/>
          <w:sz w:val="32"/>
          <w:szCs w:val="32"/>
          <w:u w:val="none"/>
          <w:lang w:val="en-US" w:eastAsia="zh-CN" w:bidi="ar"/>
        </w:rPr>
        <w:t>≥</w:t>
      </w:r>
      <w:r>
        <w:rPr>
          <w:rFonts w:hint="eastAsia" w:ascii="仿宋_GB2312" w:hAnsi="仿宋_GB2312" w:cs="仿宋_GB2312"/>
          <w:color w:val="auto"/>
          <w:sz w:val="32"/>
          <w:szCs w:val="32"/>
          <w:lang w:val="en-US" w:eastAsia="zh-CN"/>
        </w:rPr>
        <w:t>9分</w:t>
      </w:r>
      <w:r>
        <w:rPr>
          <w:rFonts w:hint="eastAsia" w:ascii="仿宋" w:hAnsi="仿宋" w:eastAsia="仿宋" w:cs="仿宋"/>
          <w:color w:val="auto"/>
          <w:sz w:val="32"/>
          <w:szCs w:val="32"/>
          <w:lang w:eastAsia="zh-CN"/>
        </w:rPr>
        <w:t>。</w:t>
      </w:r>
      <w:r>
        <w:rPr>
          <w:rFonts w:hint="eastAsia" w:ascii="仿宋_GB2312" w:hAnsi="仿宋_GB2312" w:cs="仿宋_GB2312"/>
          <w:b w:val="0"/>
          <w:bCs w:val="0"/>
          <w:snapToGrid w:val="0"/>
          <w:color w:val="auto"/>
          <w:kern w:val="0"/>
          <w:sz w:val="32"/>
          <w:szCs w:val="32"/>
          <w:lang w:val="en-US" w:eastAsia="zh-CN"/>
        </w:rPr>
        <w:t>该指标分值5分，自评</w:t>
      </w:r>
      <w:r>
        <w:rPr>
          <w:rFonts w:hint="eastAsia" w:ascii="仿宋_GB2312" w:hAnsi="仿宋_GB2312" w:cs="仿宋_GB2312"/>
          <w:b w:val="0"/>
          <w:bCs w:val="0"/>
          <w:snapToGrid w:val="0"/>
          <w:color w:val="auto"/>
          <w:kern w:val="0"/>
          <w:sz w:val="32"/>
          <w:szCs w:val="32"/>
          <w:highlight w:val="none"/>
          <w:lang w:val="en-US" w:eastAsia="zh-CN"/>
        </w:rPr>
        <w:t>得分5分。</w:t>
      </w:r>
    </w:p>
    <w:p>
      <w:pPr>
        <w:ind w:firstLine="640" w:firstLineChars="200"/>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（15）服务对象满意度。该指标值为≥90%，省体育局针对该项目共发放调查问卷458份，其中满意451份，满意度98.47%</w:t>
      </w:r>
      <w:r>
        <w:rPr>
          <w:rFonts w:hint="eastAsia" w:ascii="仿宋_GB2312" w:hAnsi="仿宋_GB2312" w:eastAsia="仿宋_GB2312" w:cs="仿宋_GB2312"/>
          <w:snapToGrid w:val="0"/>
          <w:color w:val="auto"/>
          <w:kern w:val="0"/>
          <w:sz w:val="32"/>
          <w:szCs w:val="32"/>
          <w:lang w:val="en-US" w:eastAsia="zh-CN"/>
        </w:rPr>
        <w:t>。</w:t>
      </w:r>
      <w:r>
        <w:rPr>
          <w:rFonts w:hint="eastAsia" w:ascii="仿宋_GB2312" w:hAnsi="仿宋_GB2312" w:cs="仿宋_GB2312"/>
          <w:b w:val="0"/>
          <w:bCs w:val="0"/>
          <w:snapToGrid w:val="0"/>
          <w:color w:val="auto"/>
          <w:kern w:val="0"/>
          <w:sz w:val="32"/>
          <w:szCs w:val="32"/>
          <w:lang w:val="en-US" w:eastAsia="zh-CN"/>
        </w:rPr>
        <w:t>该指标分值5分，自评</w:t>
      </w:r>
      <w:r>
        <w:rPr>
          <w:rFonts w:hint="eastAsia" w:ascii="仿宋_GB2312" w:hAnsi="仿宋_GB2312" w:cs="仿宋_GB2312"/>
          <w:b w:val="0"/>
          <w:bCs w:val="0"/>
          <w:snapToGrid w:val="0"/>
          <w:color w:val="auto"/>
          <w:kern w:val="0"/>
          <w:sz w:val="32"/>
          <w:szCs w:val="32"/>
          <w:highlight w:val="none"/>
          <w:lang w:val="en-US" w:eastAsia="zh-CN"/>
        </w:rPr>
        <w:t>得分5分。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ascii="仿宋_GB2312"/>
          <w:color w:val="auto"/>
          <w:sz w:val="32"/>
          <w:szCs w:val="32"/>
        </w:rPr>
      </w:pP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、偏离绩效目标的原因和下一步改进措施</w:t>
      </w:r>
    </w:p>
    <w:p>
      <w:pPr>
        <w:keepNext w:val="0"/>
        <w:keepLines w:val="0"/>
        <w:pageBreakBefore w:val="0"/>
        <w:kinsoku/>
        <w:wordWrap/>
        <w:overflowPunct/>
        <w:topLinePunct w:val="0"/>
        <w:autoSpaceDE/>
        <w:autoSpaceDN/>
        <w:bidi w:val="0"/>
        <w:adjustRightInd/>
        <w:snapToGrid/>
        <w:spacing w:line="360" w:lineRule="auto"/>
        <w:ind w:firstLine="642" w:firstLineChars="200"/>
        <w:jc w:val="both"/>
        <w:outlineLvl w:val="1"/>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（一）绩效目标偏离的原因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部分财政资金到位时间较晚，且再分配环节耗时较长，影响后续资金使用进程</w:t>
      </w:r>
      <w:r>
        <w:rPr>
          <w:rFonts w:hint="eastAsia" w:ascii="仿宋_GB2312" w:hAnsi="仿宋_GB2312" w:cs="仿宋_GB2312"/>
          <w:color w:val="auto"/>
          <w:sz w:val="32"/>
          <w:szCs w:val="32"/>
          <w:highlight w:val="none"/>
          <w:lang w:val="en-US" w:eastAsia="zh-CN"/>
        </w:rPr>
        <w:t>，导致预算执行率较低；二是部分项目启动时间晚或按要求暂缓举办赛事活动，影响支出进度。</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rPr>
        <w:t>省体育局将加强对资金</w:t>
      </w:r>
      <w:r>
        <w:rPr>
          <w:rFonts w:hint="eastAsia" w:ascii="仿宋_GB2312" w:hAnsi="仿宋_GB2312" w:cs="仿宋_GB2312"/>
          <w:snapToGrid w:val="0"/>
          <w:color w:val="auto"/>
          <w:kern w:val="0"/>
          <w:sz w:val="32"/>
          <w:szCs w:val="32"/>
          <w:lang w:val="en-US" w:eastAsia="zh-CN"/>
        </w:rPr>
        <w:t>管理</w:t>
      </w:r>
      <w:r>
        <w:rPr>
          <w:rFonts w:hint="eastAsia" w:ascii="仿宋_GB2312" w:hAnsi="仿宋_GB2312" w:eastAsia="仿宋_GB2312" w:cs="仿宋_GB2312"/>
          <w:snapToGrid w:val="0"/>
          <w:color w:val="auto"/>
          <w:kern w:val="0"/>
          <w:sz w:val="32"/>
          <w:szCs w:val="32"/>
          <w:lang w:val="en-US" w:eastAsia="zh-CN"/>
        </w:rPr>
        <w:t>使用</w:t>
      </w:r>
      <w:r>
        <w:rPr>
          <w:rFonts w:hint="eastAsia" w:ascii="仿宋_GB2312" w:hAnsi="仿宋_GB2312" w:cs="仿宋_GB2312"/>
          <w:snapToGrid w:val="0"/>
          <w:color w:val="auto"/>
          <w:kern w:val="0"/>
          <w:sz w:val="32"/>
          <w:szCs w:val="32"/>
          <w:lang w:val="en-US" w:eastAsia="zh-CN"/>
        </w:rPr>
        <w:t>的</w:t>
      </w:r>
      <w:r>
        <w:rPr>
          <w:rFonts w:hint="eastAsia" w:ascii="仿宋_GB2312" w:hAnsi="仿宋_GB2312" w:eastAsia="仿宋_GB2312" w:cs="仿宋_GB2312"/>
          <w:snapToGrid w:val="0"/>
          <w:color w:val="auto"/>
          <w:kern w:val="0"/>
          <w:sz w:val="32"/>
          <w:szCs w:val="32"/>
          <w:lang w:val="en-US" w:eastAsia="zh-CN"/>
        </w:rPr>
        <w:t>培训和指导工作</w:t>
      </w:r>
      <w:r>
        <w:rPr>
          <w:rFonts w:hint="eastAsia" w:ascii="仿宋_GB2312" w:hAnsi="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lang w:val="en-US" w:eastAsia="zh-CN"/>
        </w:rPr>
        <w:t>完善资金使用监督制度</w:t>
      </w:r>
      <w:r>
        <w:rPr>
          <w:rFonts w:hint="eastAsia" w:ascii="仿宋_GB2312" w:hAnsi="仿宋_GB2312" w:cs="仿宋_GB2312"/>
          <w:snapToGrid w:val="0"/>
          <w:color w:val="auto"/>
          <w:kern w:val="0"/>
          <w:sz w:val="32"/>
          <w:szCs w:val="32"/>
          <w:lang w:val="en-US" w:eastAsia="zh-CN"/>
        </w:rPr>
        <w:t>，</w:t>
      </w:r>
      <w:r>
        <w:rPr>
          <w:rFonts w:hint="eastAsia" w:ascii="仿宋_GB2312" w:hAnsi="仿宋_GB2312" w:eastAsia="仿宋_GB2312" w:cs="仿宋_GB2312"/>
          <w:color w:val="auto"/>
          <w:sz w:val="32"/>
          <w:szCs w:val="32"/>
        </w:rPr>
        <w:t>密切跟踪</w:t>
      </w:r>
      <w:r>
        <w:rPr>
          <w:rFonts w:hint="eastAsia" w:ascii="仿宋_GB2312" w:hAnsi="仿宋_GB2312" w:eastAsia="仿宋_GB2312" w:cs="仿宋_GB2312"/>
          <w:color w:val="auto"/>
          <w:sz w:val="32"/>
          <w:szCs w:val="32"/>
          <w:lang w:eastAsia="zh-CN"/>
        </w:rPr>
        <w:t>专项资金转移支付部分的</w:t>
      </w:r>
      <w:r>
        <w:rPr>
          <w:rFonts w:hint="eastAsia" w:ascii="仿宋_GB2312" w:hAnsi="仿宋_GB2312" w:eastAsia="仿宋_GB2312" w:cs="仿宋_GB2312"/>
          <w:color w:val="auto"/>
          <w:sz w:val="32"/>
          <w:szCs w:val="32"/>
        </w:rPr>
        <w:t>执行情况，将具体支出责任落实到市县和用款单位，</w:t>
      </w:r>
      <w:r>
        <w:rPr>
          <w:rFonts w:hint="eastAsia" w:ascii="仿宋_GB2312" w:hAnsi="仿宋_GB2312" w:eastAsia="仿宋_GB2312" w:cs="仿宋_GB2312"/>
          <w:color w:val="auto"/>
          <w:sz w:val="32"/>
          <w:szCs w:val="32"/>
          <w:lang w:eastAsia="zh-CN"/>
        </w:rPr>
        <w:t>强化资金使用的跟踪问效</w:t>
      </w:r>
      <w:r>
        <w:rPr>
          <w:rFonts w:hint="eastAsia" w:ascii="仿宋_GB2312" w:hAnsi="仿宋_GB2312" w:cs="仿宋_GB2312"/>
          <w:color w:val="auto"/>
          <w:sz w:val="32"/>
          <w:szCs w:val="32"/>
          <w:lang w:val="en-US" w:eastAsia="zh-CN"/>
        </w:rPr>
        <w:t>和</w:t>
      </w:r>
      <w:r>
        <w:rPr>
          <w:rFonts w:hint="eastAsia" w:ascii="仿宋_GB2312" w:hAnsi="仿宋_GB2312" w:eastAsia="仿宋_GB2312" w:cs="仿宋_GB2312"/>
          <w:snapToGrid w:val="0"/>
          <w:color w:val="auto"/>
          <w:kern w:val="0"/>
          <w:sz w:val="32"/>
          <w:szCs w:val="32"/>
          <w:lang w:val="en-US" w:eastAsia="zh-CN"/>
        </w:rPr>
        <w:t>项目开展进度</w:t>
      </w:r>
      <w:r>
        <w:rPr>
          <w:rFonts w:hint="eastAsia" w:ascii="仿宋_GB2312" w:hAnsi="仿宋_GB2312" w:cs="仿宋_GB2312"/>
          <w:snapToGrid w:val="0"/>
          <w:color w:val="auto"/>
          <w:kern w:val="0"/>
          <w:sz w:val="32"/>
          <w:szCs w:val="32"/>
          <w:lang w:val="en-US" w:eastAsia="zh-CN"/>
        </w:rPr>
        <w:t>，</w:t>
      </w:r>
      <w:r>
        <w:rPr>
          <w:rFonts w:hint="eastAsia" w:ascii="仿宋_GB2312" w:hAnsi="仿宋_GB2312" w:eastAsia="仿宋_GB2312" w:cs="仿宋_GB2312"/>
          <w:color w:val="auto"/>
          <w:sz w:val="32"/>
          <w:szCs w:val="32"/>
        </w:rPr>
        <w:t>确保绩效目标如期实现，</w:t>
      </w:r>
      <w:r>
        <w:rPr>
          <w:rFonts w:hint="eastAsia" w:ascii="仿宋_GB2312" w:hAnsi="仿宋_GB2312" w:cs="仿宋_GB2312"/>
          <w:color w:val="auto"/>
          <w:sz w:val="32"/>
          <w:szCs w:val="32"/>
          <w:lang w:val="en-US" w:eastAsia="zh-CN"/>
        </w:rPr>
        <w:t>充分</w:t>
      </w:r>
      <w:r>
        <w:rPr>
          <w:rFonts w:hint="eastAsia" w:ascii="仿宋_GB2312" w:hAnsi="仿宋_GB2312" w:eastAsia="仿宋_GB2312" w:cs="仿宋_GB2312"/>
          <w:color w:val="auto"/>
          <w:sz w:val="32"/>
          <w:szCs w:val="32"/>
        </w:rPr>
        <w:t>发挥</w:t>
      </w:r>
      <w:r>
        <w:rPr>
          <w:rFonts w:hint="eastAsia" w:ascii="仿宋_GB2312" w:hAnsi="仿宋_GB2312" w:cs="仿宋_GB2312"/>
          <w:color w:val="auto"/>
          <w:sz w:val="32"/>
          <w:szCs w:val="32"/>
          <w:lang w:val="en-US" w:eastAsia="zh-CN"/>
        </w:rPr>
        <w:t>资金</w:t>
      </w:r>
      <w:r>
        <w:rPr>
          <w:rFonts w:hint="eastAsia" w:ascii="仿宋_GB2312" w:hAnsi="仿宋_GB2312" w:eastAsia="仿宋_GB2312" w:cs="仿宋_GB2312"/>
          <w:color w:val="auto"/>
          <w:sz w:val="32"/>
          <w:szCs w:val="32"/>
        </w:rPr>
        <w:t>预期效益。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一直以来，</w:t>
      </w:r>
      <w:r>
        <w:rPr>
          <w:rFonts w:hint="eastAsia" w:ascii="仿宋_GB2312" w:hAnsi="仿宋_GB2312" w:eastAsia="仿宋_GB2312" w:cs="仿宋_GB2312"/>
          <w:snapToGrid w:val="0"/>
          <w:color w:val="auto"/>
          <w:kern w:val="0"/>
          <w:sz w:val="32"/>
          <w:szCs w:val="32"/>
          <w:lang w:val="en-US" w:eastAsia="zh-CN"/>
        </w:rPr>
        <w:t>省体育局</w:t>
      </w:r>
      <w:r>
        <w:rPr>
          <w:rFonts w:hint="eastAsia" w:ascii="仿宋_GB2312" w:hAnsi="仿宋_GB2312" w:eastAsia="仿宋_GB2312" w:cs="仿宋_GB2312"/>
          <w:snapToGrid w:val="0"/>
          <w:color w:val="auto"/>
          <w:kern w:val="0"/>
          <w:sz w:val="32"/>
          <w:szCs w:val="32"/>
        </w:rPr>
        <w:t>高度重视项目的评价工作，积极开展自评工作，要求各部门各地市对申报项目的年度绩效目标、总目标以及根据项目二级指标分析各三级绩效指标、指标值，逐项分析全年实际完成情况；按照确定的任务与规划，对各项目承担单位实施项目工作进展和结果进行评价和考核。同时，</w:t>
      </w:r>
      <w:r>
        <w:rPr>
          <w:rFonts w:hint="eastAsia" w:ascii="仿宋_GB2312" w:hAnsi="仿宋_GB2312" w:eastAsia="仿宋_GB2312" w:cs="仿宋_GB2312"/>
          <w:snapToGrid w:val="0"/>
          <w:color w:val="auto"/>
          <w:kern w:val="0"/>
          <w:sz w:val="32"/>
          <w:szCs w:val="32"/>
          <w:lang w:val="en-US" w:eastAsia="zh-CN"/>
        </w:rPr>
        <w:t>省体育局</w:t>
      </w:r>
      <w:r>
        <w:rPr>
          <w:rFonts w:hint="eastAsia" w:ascii="仿宋_GB2312" w:hAnsi="仿宋_GB2312" w:eastAsia="仿宋_GB2312" w:cs="仿宋_GB2312"/>
          <w:snapToGrid w:val="0"/>
          <w:color w:val="auto"/>
          <w:kern w:val="0"/>
          <w:sz w:val="32"/>
          <w:szCs w:val="32"/>
        </w:rPr>
        <w:t>后续将要求各用款单位每季度终了后报送上一季度预算执行工作台账，督促和指导用款部门提前谋划启动项目建设和资金支出工作，继续落实预算执行定期研究分析工作机制。公示绩效自评结果，接受社会各界和有关部门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lang w:eastAsia="zh-CN"/>
        </w:rPr>
        <w:t>七、</w:t>
      </w:r>
      <w:r>
        <w:rPr>
          <w:rFonts w:hint="eastAsia" w:ascii="黑体" w:hAnsi="黑体" w:eastAsia="黑体" w:cs="黑体"/>
          <w:bCs/>
          <w:color w:val="auto"/>
          <w:sz w:val="32"/>
          <w:szCs w:val="32"/>
        </w:rPr>
        <w:t>其他需要说明的问题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黑体"/>
          <w:snapToGrid w:val="0"/>
          <w:color w:val="auto"/>
          <w:kern w:val="0"/>
          <w:sz w:val="32"/>
          <w:szCs w:val="32"/>
          <w:lang w:val="en-US" w:eastAsia="zh-CN"/>
        </w:rPr>
      </w:pPr>
      <w:r>
        <w:rPr>
          <w:rFonts w:hint="eastAsia" w:ascii="仿宋" w:hAnsi="仿宋" w:eastAsia="仿宋" w:cs="黑体"/>
          <w:snapToGrid w:val="0"/>
          <w:color w:val="auto"/>
          <w:kern w:val="0"/>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32"/>
          <w:szCs w:val="32"/>
          <w:lang w:val="en" w:eastAsia="zh-CN"/>
        </w:rPr>
      </w:pPr>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w Cen MT"/>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dit="readOnly" w:enforcement="0"/>
  <w:defaultTabStop w:val="420"/>
  <w:drawingGridHorizontalSpacing w:val="150"/>
  <w:drawingGridVerticalSpacing w:val="58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OGIxNjYyOGFlNzEwNzRjZjczMTFmZDE2YjY1NGYifQ=="/>
  </w:docVars>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3F12"/>
    <w:rsid w:val="00493012"/>
    <w:rsid w:val="004D2137"/>
    <w:rsid w:val="005D1514"/>
    <w:rsid w:val="005D7CC3"/>
    <w:rsid w:val="006218A1"/>
    <w:rsid w:val="00682A10"/>
    <w:rsid w:val="006A30E4"/>
    <w:rsid w:val="006A74BF"/>
    <w:rsid w:val="006C1CEE"/>
    <w:rsid w:val="006D5A86"/>
    <w:rsid w:val="00707C2E"/>
    <w:rsid w:val="00722A7D"/>
    <w:rsid w:val="00724A6B"/>
    <w:rsid w:val="0073331B"/>
    <w:rsid w:val="00733C2D"/>
    <w:rsid w:val="00756C7F"/>
    <w:rsid w:val="007D7E6E"/>
    <w:rsid w:val="00850797"/>
    <w:rsid w:val="00853FC4"/>
    <w:rsid w:val="008720F1"/>
    <w:rsid w:val="00882EFA"/>
    <w:rsid w:val="008B2F56"/>
    <w:rsid w:val="008F0996"/>
    <w:rsid w:val="00903791"/>
    <w:rsid w:val="009600BD"/>
    <w:rsid w:val="00961C83"/>
    <w:rsid w:val="00971196"/>
    <w:rsid w:val="009922BC"/>
    <w:rsid w:val="009E0D8C"/>
    <w:rsid w:val="00A02AF3"/>
    <w:rsid w:val="00A25077"/>
    <w:rsid w:val="00A610CC"/>
    <w:rsid w:val="00A8737E"/>
    <w:rsid w:val="00AA19AF"/>
    <w:rsid w:val="00BC6882"/>
    <w:rsid w:val="00BD3FE0"/>
    <w:rsid w:val="00BE58CF"/>
    <w:rsid w:val="00CA5578"/>
    <w:rsid w:val="00CA7DAA"/>
    <w:rsid w:val="00D04826"/>
    <w:rsid w:val="00D63908"/>
    <w:rsid w:val="00D8718A"/>
    <w:rsid w:val="00D93453"/>
    <w:rsid w:val="00DC524D"/>
    <w:rsid w:val="00E071D6"/>
    <w:rsid w:val="00ED3E0F"/>
    <w:rsid w:val="00F015E4"/>
    <w:rsid w:val="00F57F82"/>
    <w:rsid w:val="00F75224"/>
    <w:rsid w:val="00F91EAE"/>
    <w:rsid w:val="00FA086C"/>
    <w:rsid w:val="00FA2093"/>
    <w:rsid w:val="00FA357A"/>
    <w:rsid w:val="01165542"/>
    <w:rsid w:val="022E3F10"/>
    <w:rsid w:val="02A46D06"/>
    <w:rsid w:val="02C10E79"/>
    <w:rsid w:val="037D0BC8"/>
    <w:rsid w:val="03F75425"/>
    <w:rsid w:val="044B1342"/>
    <w:rsid w:val="04912689"/>
    <w:rsid w:val="04CD2BAA"/>
    <w:rsid w:val="04F82B4C"/>
    <w:rsid w:val="058E0D51"/>
    <w:rsid w:val="05906119"/>
    <w:rsid w:val="05F92040"/>
    <w:rsid w:val="063F547A"/>
    <w:rsid w:val="06481F9A"/>
    <w:rsid w:val="0656788B"/>
    <w:rsid w:val="074C4807"/>
    <w:rsid w:val="082FC9C1"/>
    <w:rsid w:val="0845082D"/>
    <w:rsid w:val="086B1834"/>
    <w:rsid w:val="087414BF"/>
    <w:rsid w:val="08981F2C"/>
    <w:rsid w:val="08A2174C"/>
    <w:rsid w:val="090A6581"/>
    <w:rsid w:val="09E965F2"/>
    <w:rsid w:val="0A054A20"/>
    <w:rsid w:val="0A590531"/>
    <w:rsid w:val="0AEA1189"/>
    <w:rsid w:val="0B524F4B"/>
    <w:rsid w:val="0B645660"/>
    <w:rsid w:val="0B6947A3"/>
    <w:rsid w:val="0CF32576"/>
    <w:rsid w:val="0D054058"/>
    <w:rsid w:val="0D0E5602"/>
    <w:rsid w:val="0D6D0DCF"/>
    <w:rsid w:val="0ECF2B6F"/>
    <w:rsid w:val="0EFB5712"/>
    <w:rsid w:val="0F5014F6"/>
    <w:rsid w:val="0FB6788B"/>
    <w:rsid w:val="0FBC66F0"/>
    <w:rsid w:val="0FF7AA4F"/>
    <w:rsid w:val="10805CFF"/>
    <w:rsid w:val="10D75D0B"/>
    <w:rsid w:val="11227FE5"/>
    <w:rsid w:val="139532E9"/>
    <w:rsid w:val="139840D3"/>
    <w:rsid w:val="13CE7899"/>
    <w:rsid w:val="14302302"/>
    <w:rsid w:val="143E091F"/>
    <w:rsid w:val="14865FC8"/>
    <w:rsid w:val="150C2DB0"/>
    <w:rsid w:val="15592B10"/>
    <w:rsid w:val="15C727F2"/>
    <w:rsid w:val="15D53161"/>
    <w:rsid w:val="16D231FD"/>
    <w:rsid w:val="17B1D816"/>
    <w:rsid w:val="18575D94"/>
    <w:rsid w:val="18C876D8"/>
    <w:rsid w:val="18FF6153"/>
    <w:rsid w:val="191108A3"/>
    <w:rsid w:val="1921046B"/>
    <w:rsid w:val="1A7D29EA"/>
    <w:rsid w:val="1A882AFB"/>
    <w:rsid w:val="1AE04A32"/>
    <w:rsid w:val="1AED393F"/>
    <w:rsid w:val="1B446693"/>
    <w:rsid w:val="1B983935"/>
    <w:rsid w:val="1BA84D74"/>
    <w:rsid w:val="1BE60F36"/>
    <w:rsid w:val="1C1442B7"/>
    <w:rsid w:val="1CB644DE"/>
    <w:rsid w:val="1D994BCF"/>
    <w:rsid w:val="1DFE6CBC"/>
    <w:rsid w:val="1E761F05"/>
    <w:rsid w:val="1ED32262"/>
    <w:rsid w:val="1EE47F71"/>
    <w:rsid w:val="1F7BE1E6"/>
    <w:rsid w:val="1FC7205C"/>
    <w:rsid w:val="1FF97A4C"/>
    <w:rsid w:val="20270A5D"/>
    <w:rsid w:val="20F53DA8"/>
    <w:rsid w:val="210F504D"/>
    <w:rsid w:val="213A0531"/>
    <w:rsid w:val="22595437"/>
    <w:rsid w:val="22861B8C"/>
    <w:rsid w:val="228B3D05"/>
    <w:rsid w:val="233D2346"/>
    <w:rsid w:val="238241FC"/>
    <w:rsid w:val="24C518D9"/>
    <w:rsid w:val="24C70119"/>
    <w:rsid w:val="24D33F00"/>
    <w:rsid w:val="252B508F"/>
    <w:rsid w:val="2533755C"/>
    <w:rsid w:val="259E376E"/>
    <w:rsid w:val="25B36DD1"/>
    <w:rsid w:val="25EA625C"/>
    <w:rsid w:val="262F5BC1"/>
    <w:rsid w:val="2689776B"/>
    <w:rsid w:val="270311B0"/>
    <w:rsid w:val="277B343D"/>
    <w:rsid w:val="27F81B23"/>
    <w:rsid w:val="2817512F"/>
    <w:rsid w:val="284E74F8"/>
    <w:rsid w:val="2895359B"/>
    <w:rsid w:val="28F82A86"/>
    <w:rsid w:val="298F1827"/>
    <w:rsid w:val="2A155A4B"/>
    <w:rsid w:val="2A930A9D"/>
    <w:rsid w:val="2AA902C1"/>
    <w:rsid w:val="2AB2780B"/>
    <w:rsid w:val="2ADB48E8"/>
    <w:rsid w:val="2B275AF8"/>
    <w:rsid w:val="2B277B63"/>
    <w:rsid w:val="2B9B40AD"/>
    <w:rsid w:val="2BFA5278"/>
    <w:rsid w:val="2D654973"/>
    <w:rsid w:val="2D742E08"/>
    <w:rsid w:val="2E8E7EF9"/>
    <w:rsid w:val="2E9B549C"/>
    <w:rsid w:val="2EFA1321"/>
    <w:rsid w:val="2F421239"/>
    <w:rsid w:val="305E56A9"/>
    <w:rsid w:val="306A5CC3"/>
    <w:rsid w:val="30A457B2"/>
    <w:rsid w:val="30DA5678"/>
    <w:rsid w:val="30F6555D"/>
    <w:rsid w:val="31B05BEE"/>
    <w:rsid w:val="31C823E2"/>
    <w:rsid w:val="327A0EC0"/>
    <w:rsid w:val="32D57EA5"/>
    <w:rsid w:val="32F04CDF"/>
    <w:rsid w:val="331812CD"/>
    <w:rsid w:val="334D0383"/>
    <w:rsid w:val="3362265F"/>
    <w:rsid w:val="33C120EC"/>
    <w:rsid w:val="343A0557"/>
    <w:rsid w:val="34425A0E"/>
    <w:rsid w:val="34645984"/>
    <w:rsid w:val="358160C2"/>
    <w:rsid w:val="365B2DB7"/>
    <w:rsid w:val="36687282"/>
    <w:rsid w:val="367793B2"/>
    <w:rsid w:val="368101F6"/>
    <w:rsid w:val="36AD1ED7"/>
    <w:rsid w:val="36D806A6"/>
    <w:rsid w:val="36DF7544"/>
    <w:rsid w:val="37342E24"/>
    <w:rsid w:val="37474A15"/>
    <w:rsid w:val="37647A49"/>
    <w:rsid w:val="3794FC37"/>
    <w:rsid w:val="37BA029D"/>
    <w:rsid w:val="38882ACA"/>
    <w:rsid w:val="389B749B"/>
    <w:rsid w:val="38EF7AD8"/>
    <w:rsid w:val="39DE1D35"/>
    <w:rsid w:val="3A116B7D"/>
    <w:rsid w:val="3B430836"/>
    <w:rsid w:val="3BB84297"/>
    <w:rsid w:val="3C12216A"/>
    <w:rsid w:val="3CEB6517"/>
    <w:rsid w:val="3E1672E6"/>
    <w:rsid w:val="3E172E4A"/>
    <w:rsid w:val="3EB9C2BB"/>
    <w:rsid w:val="3FA0183A"/>
    <w:rsid w:val="3FC842B0"/>
    <w:rsid w:val="3FEF6A07"/>
    <w:rsid w:val="3FFDE31E"/>
    <w:rsid w:val="408101F0"/>
    <w:rsid w:val="40CE4185"/>
    <w:rsid w:val="40D774DE"/>
    <w:rsid w:val="40E07759"/>
    <w:rsid w:val="415F08D8"/>
    <w:rsid w:val="416A2100"/>
    <w:rsid w:val="417C3D0E"/>
    <w:rsid w:val="423A76B0"/>
    <w:rsid w:val="42C13FA2"/>
    <w:rsid w:val="43A37B4B"/>
    <w:rsid w:val="43D7A30D"/>
    <w:rsid w:val="44E2230F"/>
    <w:rsid w:val="45392515"/>
    <w:rsid w:val="476B0980"/>
    <w:rsid w:val="477305A8"/>
    <w:rsid w:val="47D6229D"/>
    <w:rsid w:val="47F735F0"/>
    <w:rsid w:val="48126118"/>
    <w:rsid w:val="488F069E"/>
    <w:rsid w:val="48B51347"/>
    <w:rsid w:val="48D82045"/>
    <w:rsid w:val="48DD0312"/>
    <w:rsid w:val="491B45FA"/>
    <w:rsid w:val="495913D8"/>
    <w:rsid w:val="495F02EB"/>
    <w:rsid w:val="4A55216A"/>
    <w:rsid w:val="4A800BE6"/>
    <w:rsid w:val="4A9865ED"/>
    <w:rsid w:val="4B6319EC"/>
    <w:rsid w:val="4B8015EF"/>
    <w:rsid w:val="4B92459E"/>
    <w:rsid w:val="4C6F527A"/>
    <w:rsid w:val="4E0B4D7C"/>
    <w:rsid w:val="4E352FC2"/>
    <w:rsid w:val="4EF95E89"/>
    <w:rsid w:val="4F5D3216"/>
    <w:rsid w:val="4FA14C02"/>
    <w:rsid w:val="4FE0696A"/>
    <w:rsid w:val="5151508A"/>
    <w:rsid w:val="51FB0341"/>
    <w:rsid w:val="52107E9A"/>
    <w:rsid w:val="52444D89"/>
    <w:rsid w:val="52635075"/>
    <w:rsid w:val="52D852D5"/>
    <w:rsid w:val="53042DB3"/>
    <w:rsid w:val="54177EC5"/>
    <w:rsid w:val="546F8569"/>
    <w:rsid w:val="54CB27A7"/>
    <w:rsid w:val="55317813"/>
    <w:rsid w:val="55673508"/>
    <w:rsid w:val="561C10C6"/>
    <w:rsid w:val="56221B94"/>
    <w:rsid w:val="57452F9B"/>
    <w:rsid w:val="576F626A"/>
    <w:rsid w:val="580902B2"/>
    <w:rsid w:val="58106307"/>
    <w:rsid w:val="58B42764"/>
    <w:rsid w:val="59543D69"/>
    <w:rsid w:val="59595A6F"/>
    <w:rsid w:val="597350B8"/>
    <w:rsid w:val="59796F2C"/>
    <w:rsid w:val="599330CA"/>
    <w:rsid w:val="5A7FCB1F"/>
    <w:rsid w:val="5B6E5039"/>
    <w:rsid w:val="5B89032C"/>
    <w:rsid w:val="5D7FCD90"/>
    <w:rsid w:val="5DB32043"/>
    <w:rsid w:val="5DB8609C"/>
    <w:rsid w:val="5EAF16CE"/>
    <w:rsid w:val="5F7F638B"/>
    <w:rsid w:val="5FAD7930"/>
    <w:rsid w:val="5FC87C2F"/>
    <w:rsid w:val="5FEAF7C9"/>
    <w:rsid w:val="5FFBBEE4"/>
    <w:rsid w:val="5FFC9E2A"/>
    <w:rsid w:val="60854409"/>
    <w:rsid w:val="6088058B"/>
    <w:rsid w:val="60D5009F"/>
    <w:rsid w:val="61021EFD"/>
    <w:rsid w:val="61202B0B"/>
    <w:rsid w:val="61700C15"/>
    <w:rsid w:val="62314848"/>
    <w:rsid w:val="63251E94"/>
    <w:rsid w:val="632B74E9"/>
    <w:rsid w:val="637BF9BB"/>
    <w:rsid w:val="63FA3360"/>
    <w:rsid w:val="645A5BAC"/>
    <w:rsid w:val="64AC2E11"/>
    <w:rsid w:val="660721C9"/>
    <w:rsid w:val="661E6C75"/>
    <w:rsid w:val="66427219"/>
    <w:rsid w:val="666004A8"/>
    <w:rsid w:val="66E704E6"/>
    <w:rsid w:val="675A53F1"/>
    <w:rsid w:val="67BA52E0"/>
    <w:rsid w:val="67BD4541"/>
    <w:rsid w:val="67F75FF5"/>
    <w:rsid w:val="680262E9"/>
    <w:rsid w:val="681D4831"/>
    <w:rsid w:val="68D66492"/>
    <w:rsid w:val="692E4B19"/>
    <w:rsid w:val="69513EF7"/>
    <w:rsid w:val="69BD5301"/>
    <w:rsid w:val="6A547BA4"/>
    <w:rsid w:val="6A615EE7"/>
    <w:rsid w:val="6ABA34E0"/>
    <w:rsid w:val="6AC01691"/>
    <w:rsid w:val="6B6B1A8C"/>
    <w:rsid w:val="6B9E0A74"/>
    <w:rsid w:val="6BE24E05"/>
    <w:rsid w:val="6BF3256F"/>
    <w:rsid w:val="6CE7018A"/>
    <w:rsid w:val="6D516898"/>
    <w:rsid w:val="6D94425F"/>
    <w:rsid w:val="6DA74C77"/>
    <w:rsid w:val="6E3E3F2D"/>
    <w:rsid w:val="6F495C8E"/>
    <w:rsid w:val="6FBD416A"/>
    <w:rsid w:val="6FC42D4F"/>
    <w:rsid w:val="715B2F02"/>
    <w:rsid w:val="71946B75"/>
    <w:rsid w:val="71A4709A"/>
    <w:rsid w:val="71A63E96"/>
    <w:rsid w:val="72E90C79"/>
    <w:rsid w:val="7420471D"/>
    <w:rsid w:val="74F57957"/>
    <w:rsid w:val="753A180E"/>
    <w:rsid w:val="756446E3"/>
    <w:rsid w:val="75866801"/>
    <w:rsid w:val="75AE2C36"/>
    <w:rsid w:val="76A548F2"/>
    <w:rsid w:val="7765772E"/>
    <w:rsid w:val="776F5E62"/>
    <w:rsid w:val="77867685"/>
    <w:rsid w:val="77EE7FE7"/>
    <w:rsid w:val="78174088"/>
    <w:rsid w:val="781F36B6"/>
    <w:rsid w:val="78623556"/>
    <w:rsid w:val="790627AD"/>
    <w:rsid w:val="79DFF8C4"/>
    <w:rsid w:val="7A150154"/>
    <w:rsid w:val="7AA65250"/>
    <w:rsid w:val="7AB7ACCB"/>
    <w:rsid w:val="7ADC59FA"/>
    <w:rsid w:val="7AFF2FC3"/>
    <w:rsid w:val="7B1B6D7B"/>
    <w:rsid w:val="7BBD6CF5"/>
    <w:rsid w:val="7BF6B4C5"/>
    <w:rsid w:val="7C3A2F55"/>
    <w:rsid w:val="7CBC0D5A"/>
    <w:rsid w:val="7CFD384D"/>
    <w:rsid w:val="7D025C1B"/>
    <w:rsid w:val="7DDD794F"/>
    <w:rsid w:val="7DFA6624"/>
    <w:rsid w:val="7DFA7D8C"/>
    <w:rsid w:val="7DFD8AD7"/>
    <w:rsid w:val="7DFE7D96"/>
    <w:rsid w:val="7DFEFB95"/>
    <w:rsid w:val="7ECD6B9A"/>
    <w:rsid w:val="7EF17C38"/>
    <w:rsid w:val="7EFFA1EF"/>
    <w:rsid w:val="7F7D6EC7"/>
    <w:rsid w:val="7F8F5B13"/>
    <w:rsid w:val="7FBA576D"/>
    <w:rsid w:val="7FCA378E"/>
    <w:rsid w:val="7FDE47D5"/>
    <w:rsid w:val="7FFD003D"/>
    <w:rsid w:val="94BFC172"/>
    <w:rsid w:val="9BFA614C"/>
    <w:rsid w:val="9DA84495"/>
    <w:rsid w:val="9F9FDA5F"/>
    <w:rsid w:val="9FD71987"/>
    <w:rsid w:val="BAFE1E17"/>
    <w:rsid w:val="BBDF5B5A"/>
    <w:rsid w:val="BBE428C2"/>
    <w:rsid w:val="BFBF52D7"/>
    <w:rsid w:val="D6A79D96"/>
    <w:rsid w:val="DDFD6BA7"/>
    <w:rsid w:val="DEA67BAC"/>
    <w:rsid w:val="DF6E82F1"/>
    <w:rsid w:val="DFCEE0CE"/>
    <w:rsid w:val="DFFBB0BD"/>
    <w:rsid w:val="DFFF7077"/>
    <w:rsid w:val="E69BFBCE"/>
    <w:rsid w:val="E9D60BF8"/>
    <w:rsid w:val="EEBF76D9"/>
    <w:rsid w:val="F36EF6AC"/>
    <w:rsid w:val="F5DE4E19"/>
    <w:rsid w:val="F6FDCC0E"/>
    <w:rsid w:val="F767D450"/>
    <w:rsid w:val="F76FB1DB"/>
    <w:rsid w:val="F7FBEBBF"/>
    <w:rsid w:val="F9F3FBF0"/>
    <w:rsid w:val="FB7B2336"/>
    <w:rsid w:val="FB9F8FA2"/>
    <w:rsid w:val="FDB5389F"/>
    <w:rsid w:val="FDDB9850"/>
    <w:rsid w:val="FF130F51"/>
    <w:rsid w:val="FFAFB80B"/>
    <w:rsid w:val="FFF4FF69"/>
    <w:rsid w:val="FFF9F86D"/>
    <w:rsid w:val="FFFF3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Lines="0" w:afterAutospacing="0"/>
    </w:pPr>
  </w:style>
  <w:style w:type="paragraph" w:styleId="5">
    <w:name w:val="Balloon Text"/>
    <w:basedOn w:val="1"/>
    <w:link w:val="14"/>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spacing w:line="560" w:lineRule="exact"/>
      <w:ind w:firstLine="720" w:firstLineChars="200"/>
    </w:p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6"/>
    <w:qFormat/>
    <w:uiPriority w:val="99"/>
    <w:rPr>
      <w:rFonts w:eastAsia="仿宋_GB2312"/>
      <w:kern w:val="2"/>
      <w:sz w:val="18"/>
      <w:szCs w:val="18"/>
    </w:rPr>
  </w:style>
  <w:style w:type="character" w:customStyle="1" w:styleId="13">
    <w:name w:val="页眉 Char"/>
    <w:basedOn w:val="11"/>
    <w:link w:val="7"/>
    <w:qFormat/>
    <w:uiPriority w:val="0"/>
    <w:rPr>
      <w:rFonts w:eastAsia="仿宋_GB2312"/>
      <w:kern w:val="2"/>
      <w:sz w:val="18"/>
      <w:szCs w:val="18"/>
    </w:rPr>
  </w:style>
  <w:style w:type="character" w:customStyle="1" w:styleId="14">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10836</Words>
  <Characters>13224</Characters>
  <Lines>3</Lines>
  <Paragraphs>1</Paragraphs>
  <TotalTime>1</TotalTime>
  <ScaleCrop>false</ScaleCrop>
  <LinksUpToDate>false</LinksUpToDate>
  <CharactersWithSpaces>13234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2019-02-22T06:26:00Z</dcterms:created>
  <dc:creator>lhn</dc:creator>
  <cp:lastModifiedBy>钟芹香</cp:lastModifiedBy>
  <cp:lastPrinted>2024-03-29T07:54:00Z</cp:lastPrinted>
  <dcterms:modified xsi:type="dcterms:W3CDTF">2024-07-31T10:01:05Z</dcterms:modified>
  <dc:title>财政支出绩效评价报告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A24C4489D1A74AA28AB4D14F559F7C88_13</vt:lpwstr>
  </property>
</Properties>
</file>