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2023文化繁荣发展专项资金项目</w:t>
      </w:r>
    </w:p>
    <w:p>
      <w:pPr>
        <w:spacing w:line="360" w:lineRule="auto"/>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项目绩效自评报告</w:t>
      </w: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pacing w:line="360" w:lineRule="auto"/>
        <w:ind w:firstLine="450" w:firstLineChars="150"/>
        <w:rPr>
          <w:rFonts w:ascii="仿宋_GB2312" w:eastAsia="仿宋_GB2312"/>
          <w:sz w:val="30"/>
          <w:szCs w:val="30"/>
        </w:rPr>
      </w:pPr>
    </w:p>
    <w:p>
      <w:pPr>
        <w:snapToGrid w:val="0"/>
        <w:spacing w:line="360" w:lineRule="auto"/>
        <w:rPr>
          <w:rFonts w:ascii="仿宋_GB2312" w:eastAsia="仿宋_GB2312"/>
          <w:sz w:val="32"/>
          <w:szCs w:val="32"/>
        </w:rPr>
      </w:pPr>
      <w:r>
        <w:rPr>
          <w:rFonts w:hint="eastAsia" w:ascii="仿宋_GB2312" w:eastAsia="仿宋_GB2312"/>
          <w:sz w:val="32"/>
          <w:szCs w:val="32"/>
        </w:rPr>
        <w:t>财政事权名称：竞技体育</w:t>
      </w:r>
    </w:p>
    <w:p>
      <w:pPr>
        <w:snapToGrid w:val="0"/>
        <w:spacing w:line="360" w:lineRule="auto"/>
        <w:rPr>
          <w:rFonts w:hint="eastAsia" w:ascii="仿宋_GB2312" w:eastAsia="仿宋_GB2312"/>
          <w:sz w:val="32"/>
          <w:szCs w:val="32"/>
        </w:rPr>
      </w:pPr>
      <w:r>
        <w:rPr>
          <w:rFonts w:hint="eastAsia" w:ascii="仿宋_GB2312" w:eastAsia="仿宋_GB2312"/>
          <w:sz w:val="32"/>
          <w:szCs w:val="32"/>
        </w:rPr>
        <w:t>对应政策任务个数：3</w:t>
      </w:r>
    </w:p>
    <w:p>
      <w:pPr>
        <w:snapToGrid w:val="0"/>
        <w:spacing w:line="360" w:lineRule="auto"/>
        <w:rPr>
          <w:rFonts w:ascii="仿宋_GB2312" w:eastAsia="仿宋_GB2312"/>
          <w:sz w:val="32"/>
          <w:szCs w:val="32"/>
        </w:rPr>
      </w:pPr>
      <w:r>
        <w:rPr>
          <w:rFonts w:hint="eastAsia" w:ascii="仿宋_GB2312" w:eastAsia="仿宋_GB2312"/>
          <w:sz w:val="32"/>
          <w:szCs w:val="32"/>
        </w:rPr>
        <w:t>具体名称：备战重大体育赛事、资助承办竞技类体育赛事、运动队保障</w:t>
      </w:r>
    </w:p>
    <w:p>
      <w:pPr>
        <w:snapToGrid w:val="0"/>
        <w:spacing w:line="360" w:lineRule="auto"/>
        <w:rPr>
          <w:rFonts w:ascii="仿宋_GB2312" w:eastAsia="仿宋_GB2312"/>
          <w:sz w:val="32"/>
          <w:szCs w:val="32"/>
        </w:rPr>
      </w:pPr>
      <w:r>
        <w:rPr>
          <w:rFonts w:hint="eastAsia" w:ascii="仿宋_GB2312" w:eastAsia="仿宋_GB2312"/>
          <w:sz w:val="32"/>
          <w:szCs w:val="32"/>
        </w:rPr>
        <w:t>预算单位：广东省体育局</w:t>
      </w:r>
    </w:p>
    <w:p>
      <w:pPr>
        <w:snapToGrid w:val="0"/>
        <w:spacing w:line="360" w:lineRule="auto"/>
        <w:rPr>
          <w:rFonts w:ascii="仿宋_GB2312" w:eastAsia="仿宋_GB2312"/>
          <w:sz w:val="32"/>
          <w:szCs w:val="32"/>
        </w:rPr>
      </w:pPr>
      <w:r>
        <w:rPr>
          <w:rFonts w:hint="eastAsia" w:ascii="仿宋_GB2312" w:eastAsia="仿宋_GB2312"/>
          <w:sz w:val="32"/>
          <w:szCs w:val="32"/>
        </w:rPr>
        <w:t>填报日期：2024年5月20日</w:t>
      </w:r>
    </w:p>
    <w:p>
      <w:pPr>
        <w:snapToGrid w:val="0"/>
        <w:spacing w:line="360" w:lineRule="auto"/>
        <w:ind w:firstLine="640" w:firstLineChars="200"/>
        <w:rPr>
          <w:rFonts w:ascii="仿宋_GB2312" w:eastAsia="仿宋_GB2312"/>
          <w:sz w:val="32"/>
          <w:szCs w:val="32"/>
        </w:rPr>
        <w:sectPr>
          <w:footerReference r:id="rId3" w:type="default"/>
          <w:pgSz w:w="11906" w:h="16838"/>
          <w:pgMar w:top="1928" w:right="1417" w:bottom="1417" w:left="1531" w:header="851" w:footer="850" w:gutter="0"/>
          <w:pgNumType w:fmt="numberInDash"/>
          <w:cols w:space="720" w:num="1"/>
          <w:docGrid w:type="lines" w:linePitch="312" w:charSpace="0"/>
        </w:sectPr>
      </w:pP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根据《广东省财政厅关于开展2024年省级财政资金绩效自评工作的通知》的要求，为进一步压实预算绩效管理主体责任，提高财政资金使用效益，我局开展了2023年“文化繁荣发展专项资金（竞技体育）”项目（以下简称“竞技体育项目”）绩效自评工作。</w:t>
      </w:r>
      <w:r>
        <w:rPr>
          <w:rFonts w:hint="eastAsia" w:ascii="仿宋_GB2312" w:hAnsi="仿宋_GB2312" w:eastAsia="仿宋_GB2312" w:cs="仿宋_GB2312"/>
          <w:sz w:val="32"/>
          <w:szCs w:val="32"/>
        </w:rPr>
        <w:t>针对该项目的过程、产出和效益等方面的内容，我局着重盘点专项资金使用绩效，分析存在的问题和改进意见。</w:t>
      </w:r>
      <w:r>
        <w:rPr>
          <w:rFonts w:hint="eastAsia" w:ascii="仿宋_GB2312" w:eastAsia="仿宋_GB2312"/>
          <w:sz w:val="32"/>
          <w:szCs w:val="32"/>
        </w:rPr>
        <w:t>现就该项目的绩效自评情况报告如下：</w:t>
      </w:r>
    </w:p>
    <w:p>
      <w:pPr>
        <w:snapToGrid w:val="0"/>
        <w:spacing w:line="360" w:lineRule="auto"/>
        <w:ind w:firstLine="640" w:firstLineChars="200"/>
        <w:outlineLvl w:val="0"/>
        <w:rPr>
          <w:rFonts w:ascii="黑体" w:eastAsia="黑体"/>
          <w:sz w:val="32"/>
          <w:szCs w:val="32"/>
        </w:rPr>
      </w:pPr>
      <w:r>
        <w:rPr>
          <w:rFonts w:hint="eastAsia" w:ascii="黑体" w:eastAsia="黑体"/>
          <w:sz w:val="32"/>
          <w:szCs w:val="32"/>
        </w:rPr>
        <w:t>一、基本情况</w:t>
      </w:r>
    </w:p>
    <w:p>
      <w:pPr>
        <w:snapToGrid w:val="0"/>
        <w:spacing w:line="360" w:lineRule="auto"/>
        <w:ind w:firstLine="642"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（一）资金分配方式</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根据《广东省财政厅关于批复2023年省级部门预算的通知》《广东省财政厅关于下达2023年文化繁荣专项资金（省体育局部分）的通知》（粤财科教〔2023〕72号）、《广东省财政厅关于2023年度体育彩票公益金上年结转资金的通知》（粤财科教〔2023〕154号）、《广东省财政厅关于调剂部分资金用途的通知》（粤财科教〔2023〕158号），2023年“竞技体育项目”资金共50,829万元，其中：省直单位49,534万元、转移支付市县1,295万元，项目资金已于2023年1月、6月、11月分批到位。</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在资金分配方面，我局采取因素法与项目制相结合，以项目制分配为主的方式。根据各直属单位、市县申报项目，同时综合考虑各项目单位往年专项资金使用情况及年度工作目标等因素提出资金分配建议后，经省财政厅审核，按程序报批后下达。</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竞技体育项目包含3个政策任务：备战重大体育赛事、资助承办竞技类体育赛事、运动队保障。各政策任务资金分配情况如表1-1所示。</w:t>
      </w:r>
    </w:p>
    <w:p>
      <w:pPr>
        <w:pStyle w:val="7"/>
        <w:spacing w:line="360" w:lineRule="auto"/>
        <w:ind w:left="0" w:leftChars="0"/>
        <w:jc w:val="center"/>
        <w:rPr>
          <w:rFonts w:ascii="黑体" w:hAnsi="黑体" w:eastAsia="黑体" w:cs="黑体"/>
          <w:sz w:val="28"/>
          <w:szCs w:val="36"/>
          <w:highlight w:val="yellow"/>
        </w:rPr>
      </w:pPr>
      <w:r>
        <w:rPr>
          <w:rFonts w:hint="eastAsia" w:ascii="黑体" w:hAnsi="黑体" w:eastAsia="黑体" w:cs="黑体"/>
          <w:sz w:val="28"/>
          <w:szCs w:val="36"/>
        </w:rPr>
        <w:t>表1-1 竞技体育项目资金分配情况表</w:t>
      </w:r>
    </w:p>
    <w:tbl>
      <w:tblPr>
        <w:tblStyle w:val="9"/>
        <w:tblW w:w="907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440"/>
        <w:gridCol w:w="1287"/>
        <w:gridCol w:w="1734"/>
        <w:gridCol w:w="1307"/>
        <w:gridCol w:w="1264"/>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restart"/>
            <w:shd w:val="clear" w:color="auto" w:fill="DBEEF3"/>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资金类型</w:t>
            </w:r>
          </w:p>
        </w:tc>
        <w:tc>
          <w:tcPr>
            <w:tcW w:w="1440" w:type="dxa"/>
            <w:vMerge w:val="restart"/>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项目单位/地市</w:t>
            </w:r>
          </w:p>
        </w:tc>
        <w:tc>
          <w:tcPr>
            <w:tcW w:w="4328" w:type="dxa"/>
            <w:gridSpan w:val="3"/>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政策任务</w:t>
            </w:r>
          </w:p>
        </w:tc>
        <w:tc>
          <w:tcPr>
            <w:tcW w:w="1264" w:type="dxa"/>
            <w:vMerge w:val="restart"/>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金额</w:t>
            </w:r>
          </w:p>
          <w:p>
            <w:pPr>
              <w:widowControl/>
              <w:adjustRightInd w:val="0"/>
              <w:snapToGrid w:val="0"/>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（万元）</w:t>
            </w:r>
          </w:p>
        </w:tc>
        <w:tc>
          <w:tcPr>
            <w:tcW w:w="1176" w:type="dxa"/>
            <w:vMerge w:val="restart"/>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资金</w:t>
            </w:r>
          </w:p>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92CDDC"/>
            <w:noWrap/>
            <w:vAlign w:val="center"/>
          </w:tcPr>
          <w:p>
            <w:pPr>
              <w:adjustRightInd w:val="0"/>
              <w:snapToGrid w:val="0"/>
              <w:jc w:val="center"/>
              <w:rPr>
                <w:rFonts w:ascii="仿宋_GB2312" w:hAnsi="宋体" w:eastAsia="仿宋_GB2312" w:cs="仿宋_GB2312"/>
                <w:b/>
                <w:bCs/>
                <w:color w:val="000000"/>
                <w:sz w:val="24"/>
              </w:rPr>
            </w:pPr>
          </w:p>
        </w:tc>
        <w:tc>
          <w:tcPr>
            <w:tcW w:w="1440" w:type="dxa"/>
            <w:vMerge w:val="continue"/>
            <w:shd w:val="clear" w:color="auto" w:fill="92CDDC"/>
            <w:vAlign w:val="center"/>
          </w:tcPr>
          <w:p>
            <w:pPr>
              <w:adjustRightInd w:val="0"/>
              <w:snapToGrid w:val="0"/>
              <w:jc w:val="center"/>
              <w:rPr>
                <w:rFonts w:ascii="仿宋_GB2312" w:hAnsi="宋体" w:eastAsia="仿宋_GB2312" w:cs="仿宋_GB2312"/>
                <w:b/>
                <w:bCs/>
                <w:color w:val="000000"/>
                <w:sz w:val="24"/>
              </w:rPr>
            </w:pPr>
          </w:p>
        </w:tc>
        <w:tc>
          <w:tcPr>
            <w:tcW w:w="1287" w:type="dxa"/>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备战重大体育赛事</w:t>
            </w:r>
          </w:p>
        </w:tc>
        <w:tc>
          <w:tcPr>
            <w:tcW w:w="1734" w:type="dxa"/>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资助承办竞技类体育赛事</w:t>
            </w:r>
          </w:p>
        </w:tc>
        <w:tc>
          <w:tcPr>
            <w:tcW w:w="1307" w:type="dxa"/>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运动队保障项目</w:t>
            </w:r>
          </w:p>
        </w:tc>
        <w:tc>
          <w:tcPr>
            <w:tcW w:w="1264" w:type="dxa"/>
            <w:vMerge w:val="continue"/>
            <w:shd w:val="clear" w:color="auto" w:fill="92CDDC"/>
            <w:vAlign w:val="center"/>
          </w:tcPr>
          <w:p>
            <w:pPr>
              <w:adjustRightInd w:val="0"/>
              <w:snapToGrid w:val="0"/>
              <w:jc w:val="center"/>
              <w:rPr>
                <w:rFonts w:ascii="仿宋_GB2312" w:hAnsi="宋体" w:eastAsia="仿宋_GB2312" w:cs="仿宋_GB2312"/>
                <w:b/>
                <w:bCs/>
                <w:color w:val="000000"/>
                <w:sz w:val="24"/>
              </w:rPr>
            </w:pPr>
          </w:p>
        </w:tc>
        <w:tc>
          <w:tcPr>
            <w:tcW w:w="1176" w:type="dxa"/>
            <w:vMerge w:val="continue"/>
            <w:shd w:val="clear" w:color="auto" w:fill="92CDDC"/>
            <w:vAlign w:val="center"/>
          </w:tcPr>
          <w:p>
            <w:pPr>
              <w:widowControl/>
              <w:adjustRightInd w:val="0"/>
              <w:snapToGrid w:val="0"/>
              <w:jc w:val="center"/>
              <w:textAlignment w:val="center"/>
              <w:rPr>
                <w:rFonts w:ascii="仿宋_GB2312" w:hAnsi="宋体" w:eastAsia="仿宋_GB2312" w:cs="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restart"/>
            <w:shd w:val="clear" w:color="auto" w:fill="auto"/>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省直单位</w:t>
            </w:r>
          </w:p>
        </w:tc>
        <w:tc>
          <w:tcPr>
            <w:tcW w:w="1440" w:type="dxa"/>
            <w:shd w:val="clear" w:color="auto" w:fill="EBF1DE"/>
            <w:vAlign w:val="center"/>
          </w:tcPr>
          <w:p>
            <w:pPr>
              <w:widowControl/>
              <w:adjustRightInd w:val="0"/>
              <w:snapToGrid w:val="0"/>
              <w:jc w:val="center"/>
              <w:textAlignment w:val="center"/>
              <w:rPr>
                <w:rFonts w:ascii="仿宋_GB2312" w:hAnsi="宋体" w:eastAsia="仿宋_GB2312" w:cs="仿宋_GB2312"/>
                <w:b/>
                <w:bCs/>
                <w:color w:val="000000"/>
                <w:kern w:val="0"/>
                <w:sz w:val="24"/>
              </w:rPr>
            </w:pPr>
            <w:r>
              <w:rPr>
                <w:rFonts w:hint="eastAsia" w:ascii="仿宋_GB2312" w:hAnsi="宋体" w:eastAsia="仿宋_GB2312" w:cs="仿宋_GB2312"/>
                <w:b/>
                <w:bCs/>
                <w:color w:val="000000"/>
                <w:kern w:val="0"/>
                <w:sz w:val="24"/>
              </w:rPr>
              <w:t>省直单位</w:t>
            </w:r>
          </w:p>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合计</w:t>
            </w:r>
          </w:p>
        </w:tc>
        <w:tc>
          <w:tcPr>
            <w:tcW w:w="1287" w:type="dxa"/>
            <w:shd w:val="clear" w:color="auto" w:fill="EBF1DE"/>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34471.34</w:t>
            </w:r>
          </w:p>
        </w:tc>
        <w:tc>
          <w:tcPr>
            <w:tcW w:w="1734" w:type="dxa"/>
            <w:shd w:val="clear" w:color="auto" w:fill="EBF1DE"/>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4580</w:t>
            </w:r>
          </w:p>
        </w:tc>
        <w:tc>
          <w:tcPr>
            <w:tcW w:w="1307" w:type="dxa"/>
            <w:shd w:val="clear" w:color="auto" w:fill="EBF1DE"/>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10482.66</w:t>
            </w:r>
          </w:p>
        </w:tc>
        <w:tc>
          <w:tcPr>
            <w:tcW w:w="1264" w:type="dxa"/>
            <w:shd w:val="clear" w:color="auto" w:fill="EBF1DE"/>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49534</w:t>
            </w:r>
          </w:p>
        </w:tc>
        <w:tc>
          <w:tcPr>
            <w:tcW w:w="1176" w:type="dxa"/>
            <w:shd w:val="clear" w:color="auto" w:fill="auto"/>
            <w:vAlign w:val="center"/>
          </w:tcPr>
          <w:p>
            <w:pPr>
              <w:adjustRightInd w:val="0"/>
              <w:snapToGrid w:val="0"/>
              <w:jc w:val="center"/>
              <w:rPr>
                <w:rFonts w:ascii="仿宋_GB2312" w:hAnsi="宋体" w:eastAsia="仿宋_GB2312" w:cs="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广东省体育局</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130</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1435</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3295</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4860</w:t>
            </w:r>
          </w:p>
        </w:tc>
        <w:tc>
          <w:tcPr>
            <w:tcW w:w="1176" w:type="dxa"/>
            <w:vMerge w:val="restart"/>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2023年度部门预算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广东省足球运动中心</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2500</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92</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2592</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广东省重竞技体育训练中心</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2700</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540</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3240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广东省高尔夫球运动中心</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900</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60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960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广东省体育科学研究所</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200</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广东省二沙体育训练中心</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12396.09</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4114.66</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16510.75</w:t>
            </w:r>
          </w:p>
        </w:tc>
        <w:tc>
          <w:tcPr>
            <w:tcW w:w="1176" w:type="dxa"/>
            <w:vMerge w:val="restart"/>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2023年度部门预算、粤财科教〔2023〕154号、158号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广东省黄村体育训练中心</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9674.25</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50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862.3</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10586.55</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广东省船艇训练中心</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3353</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400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1108.7</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4861.7</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广东海上项目训练中心</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2498</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66.57</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470</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3034.57</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广东省奥林匹克体育中心</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36.51</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36.51</w:t>
            </w:r>
          </w:p>
        </w:tc>
        <w:tc>
          <w:tcPr>
            <w:tcW w:w="1176" w:type="dxa"/>
            <w:vMerge w:val="restart"/>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2023年度部门预算、粤财科教〔2023〕158号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广东省人民体育场</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51.92</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51.92</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vAlign w:val="center"/>
          </w:tcPr>
          <w:p>
            <w:pPr>
              <w:widowControl/>
              <w:adjustRightInd w:val="0"/>
              <w:snapToGrid w:val="0"/>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rPr>
              <w:t>广东省社会体育和训练</w:t>
            </w:r>
            <w:r>
              <w:rPr>
                <w:rFonts w:hint="eastAsia" w:ascii="仿宋_GB2312" w:hAnsi="宋体" w:eastAsia="仿宋_GB2312" w:cs="仿宋_GB2312"/>
                <w:color w:val="000000"/>
                <w:kern w:val="0"/>
                <w:sz w:val="24"/>
                <w:lang w:eastAsia="zh-CN"/>
              </w:rPr>
              <w:t>竞赛中心</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120</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2480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2600</w:t>
            </w:r>
          </w:p>
        </w:tc>
        <w:tc>
          <w:tcPr>
            <w:tcW w:w="1176" w:type="dxa"/>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2023年度部门预算、粤财科教〔2023〕72号、154号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restart"/>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b/>
                <w:bCs/>
                <w:color w:val="000000"/>
                <w:kern w:val="0"/>
                <w:sz w:val="24"/>
              </w:rPr>
              <w:t>转移支付市县</w:t>
            </w:r>
          </w:p>
        </w:tc>
        <w:tc>
          <w:tcPr>
            <w:tcW w:w="1440" w:type="dxa"/>
            <w:shd w:val="clear" w:color="auto" w:fill="EBF1DE"/>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地市合计</w:t>
            </w:r>
          </w:p>
        </w:tc>
        <w:tc>
          <w:tcPr>
            <w:tcW w:w="1287" w:type="dxa"/>
            <w:shd w:val="clear" w:color="auto" w:fill="EBF1DE"/>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0</w:t>
            </w:r>
          </w:p>
        </w:tc>
        <w:tc>
          <w:tcPr>
            <w:tcW w:w="1734" w:type="dxa"/>
            <w:shd w:val="clear" w:color="auto" w:fill="EBF1DE"/>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1195</w:t>
            </w:r>
          </w:p>
        </w:tc>
        <w:tc>
          <w:tcPr>
            <w:tcW w:w="1307" w:type="dxa"/>
            <w:shd w:val="clear" w:color="auto" w:fill="EBF1DE"/>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100</w:t>
            </w:r>
          </w:p>
        </w:tc>
        <w:tc>
          <w:tcPr>
            <w:tcW w:w="1264" w:type="dxa"/>
            <w:shd w:val="clear" w:color="auto" w:fill="EBF1DE"/>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1295</w:t>
            </w:r>
          </w:p>
        </w:tc>
        <w:tc>
          <w:tcPr>
            <w:tcW w:w="1176" w:type="dxa"/>
            <w:vMerge w:val="restart"/>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粤财科教〔2023〕72、154号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广州市</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50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惠州市</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肇庆市</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455</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455</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汕头市</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100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江门市</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340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阳江市</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100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湛江市</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70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河源市</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100</w:t>
            </w:r>
          </w:p>
        </w:tc>
        <w:tc>
          <w:tcPr>
            <w:tcW w:w="1264" w:type="dxa"/>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64" w:type="dxa"/>
            <w:vMerge w:val="continue"/>
            <w:shd w:val="clear" w:color="auto" w:fill="auto"/>
            <w:noWrap/>
            <w:vAlign w:val="center"/>
          </w:tcPr>
          <w:p>
            <w:pPr>
              <w:adjustRightInd w:val="0"/>
              <w:snapToGrid w:val="0"/>
              <w:jc w:val="center"/>
              <w:rPr>
                <w:rFonts w:ascii="仿宋_GB2312" w:hAnsi="宋体" w:eastAsia="仿宋_GB2312" w:cs="仿宋_GB2312"/>
                <w:color w:val="000000"/>
                <w:sz w:val="24"/>
              </w:rPr>
            </w:pPr>
          </w:p>
        </w:tc>
        <w:tc>
          <w:tcPr>
            <w:tcW w:w="1440"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清远市连南瑶族自治县</w:t>
            </w:r>
          </w:p>
        </w:tc>
        <w:tc>
          <w:tcPr>
            <w:tcW w:w="128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734"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60</w:t>
            </w:r>
          </w:p>
        </w:tc>
        <w:tc>
          <w:tcPr>
            <w:tcW w:w="1307" w:type="dxa"/>
            <w:shd w:val="clear" w:color="auto" w:fill="auto"/>
            <w:noWrap/>
            <w:vAlign w:val="center"/>
          </w:tcPr>
          <w:p>
            <w:pPr>
              <w:widowControl/>
              <w:adjustRightInd w:val="0"/>
              <w:snapToGrid w:val="0"/>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w:t>
            </w:r>
          </w:p>
        </w:tc>
        <w:tc>
          <w:tcPr>
            <w:tcW w:w="1264" w:type="dxa"/>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w:t>
            </w:r>
          </w:p>
        </w:tc>
        <w:tc>
          <w:tcPr>
            <w:tcW w:w="1176" w:type="dxa"/>
            <w:vMerge w:val="continue"/>
            <w:shd w:val="clear" w:color="auto" w:fill="auto"/>
            <w:vAlign w:val="center"/>
          </w:tcPr>
          <w:p>
            <w:pPr>
              <w:adjustRightInd w:val="0"/>
              <w:snapToGrid w:val="0"/>
              <w:jc w:val="center"/>
              <w:rPr>
                <w:rFonts w:ascii="仿宋_GB2312" w:hAnsi="宋体"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04" w:type="dxa"/>
            <w:gridSpan w:val="2"/>
            <w:shd w:val="clear" w:color="auto" w:fill="DBEEF3"/>
            <w:noWrap/>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总计</w:t>
            </w:r>
          </w:p>
        </w:tc>
        <w:tc>
          <w:tcPr>
            <w:tcW w:w="1287" w:type="dxa"/>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34471.34</w:t>
            </w:r>
          </w:p>
        </w:tc>
        <w:tc>
          <w:tcPr>
            <w:tcW w:w="1734" w:type="dxa"/>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5775</w:t>
            </w:r>
          </w:p>
        </w:tc>
        <w:tc>
          <w:tcPr>
            <w:tcW w:w="1307" w:type="dxa"/>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10582.66</w:t>
            </w:r>
          </w:p>
        </w:tc>
        <w:tc>
          <w:tcPr>
            <w:tcW w:w="1264" w:type="dxa"/>
            <w:shd w:val="clear" w:color="auto" w:fill="DBEEF3"/>
            <w:vAlign w:val="center"/>
          </w:tcPr>
          <w:p>
            <w:pPr>
              <w:widowControl/>
              <w:adjustRightInd w:val="0"/>
              <w:snapToGrid w:val="0"/>
              <w:jc w:val="center"/>
              <w:textAlignment w:val="center"/>
              <w:rPr>
                <w:rFonts w:ascii="仿宋_GB2312" w:hAnsi="宋体" w:eastAsia="仿宋_GB2312" w:cs="仿宋_GB2312"/>
                <w:b/>
                <w:bCs/>
                <w:color w:val="000000"/>
                <w:sz w:val="24"/>
              </w:rPr>
            </w:pPr>
            <w:r>
              <w:rPr>
                <w:rFonts w:hint="eastAsia" w:ascii="仿宋_GB2312" w:hAnsi="宋体" w:eastAsia="仿宋_GB2312" w:cs="仿宋_GB2312"/>
                <w:b/>
                <w:bCs/>
                <w:color w:val="000000"/>
                <w:kern w:val="0"/>
                <w:sz w:val="24"/>
              </w:rPr>
              <w:t>50829</w:t>
            </w:r>
          </w:p>
        </w:tc>
        <w:tc>
          <w:tcPr>
            <w:tcW w:w="1176" w:type="dxa"/>
            <w:shd w:val="clear" w:color="auto" w:fill="DBEEF3"/>
            <w:vAlign w:val="center"/>
          </w:tcPr>
          <w:p>
            <w:pPr>
              <w:adjustRightInd w:val="0"/>
              <w:snapToGrid w:val="0"/>
              <w:rPr>
                <w:rFonts w:ascii="宋体" w:hAnsi="宋体" w:cs="宋体"/>
                <w:b/>
                <w:bCs/>
                <w:color w:val="000000"/>
                <w:sz w:val="22"/>
                <w:szCs w:val="22"/>
              </w:rPr>
            </w:pPr>
          </w:p>
        </w:tc>
      </w:tr>
    </w:tbl>
    <w:p>
      <w:pPr>
        <w:spacing w:before="156" w:beforeLines="50" w:line="360" w:lineRule="auto"/>
        <w:ind w:firstLine="642" w:firstLineChars="200"/>
        <w:outlineLvl w:val="1"/>
        <w:rPr>
          <w:rFonts w:ascii="楷体" w:hAnsi="楷体" w:eastAsia="楷体" w:cs="楷体"/>
          <w:b/>
          <w:bCs/>
          <w:sz w:val="32"/>
          <w:szCs w:val="32"/>
        </w:rPr>
      </w:pPr>
      <w:r>
        <w:rPr>
          <w:rFonts w:hint="eastAsia" w:ascii="楷体_GB2312" w:hAnsi="楷体_GB2312" w:eastAsia="楷体_GB2312" w:cs="楷体_GB2312"/>
          <w:b/>
          <w:bCs/>
          <w:sz w:val="32"/>
          <w:szCs w:val="32"/>
        </w:rPr>
        <w:t>（二）项目主要用途、扶持对象</w:t>
      </w:r>
    </w:p>
    <w:p>
      <w:pPr>
        <w:spacing w:line="360" w:lineRule="auto"/>
        <w:ind w:firstLine="642" w:firstLineChars="200"/>
        <w:rPr>
          <w:rFonts w:ascii="仿宋_GB2312" w:eastAsia="仿宋_GB2312"/>
          <w:sz w:val="32"/>
          <w:szCs w:val="32"/>
        </w:rPr>
      </w:pPr>
      <w:r>
        <w:rPr>
          <w:rFonts w:hint="eastAsia" w:ascii="仿宋_GB2312" w:eastAsia="仿宋_GB2312"/>
          <w:b/>
          <w:bCs/>
          <w:sz w:val="32"/>
          <w:szCs w:val="32"/>
        </w:rPr>
        <w:t>1.备战重大体育赛事：</w:t>
      </w:r>
      <w:r>
        <w:rPr>
          <w:rFonts w:hint="eastAsia" w:ascii="仿宋_GB2312" w:eastAsia="仿宋_GB2312"/>
          <w:sz w:val="32"/>
          <w:szCs w:val="32"/>
        </w:rPr>
        <w:t>安排34,471.34万元用于保障8个训练中心备战工作需要和支持相关俱乐部、协会、社会团体等参与备战，包括备战、训练、参赛，开展人才引进、训练器材费、外训外赛、营养调控费、科研运作费</w:t>
      </w:r>
      <w:r>
        <w:rPr>
          <w:rFonts w:hint="eastAsia" w:ascii="仿宋_GB2312" w:eastAsia="仿宋_GB2312"/>
          <w:sz w:val="32"/>
          <w:szCs w:val="32"/>
          <w:highlight w:val="none"/>
        </w:rPr>
        <w:t>和科医器材经</w:t>
      </w:r>
      <w:r>
        <w:rPr>
          <w:rFonts w:hint="eastAsia" w:ascii="仿宋_GB2312" w:eastAsia="仿宋_GB2312"/>
          <w:sz w:val="32"/>
          <w:szCs w:val="32"/>
        </w:rPr>
        <w:t>费、反兴奋剂和训练相关保障等工作，提高备战水平，增强竞技体育综合实力，为体育强省做出贡献。</w:t>
      </w:r>
    </w:p>
    <w:p>
      <w:pPr>
        <w:spacing w:line="360" w:lineRule="auto"/>
        <w:ind w:firstLine="642" w:firstLineChars="200"/>
        <w:rPr>
          <w:rFonts w:ascii="仿宋_GB2312" w:eastAsia="仿宋_GB2312"/>
          <w:sz w:val="32"/>
          <w:szCs w:val="32"/>
        </w:rPr>
      </w:pPr>
      <w:r>
        <w:rPr>
          <w:rFonts w:hint="eastAsia" w:ascii="仿宋_GB2312" w:eastAsia="仿宋_GB2312"/>
          <w:b/>
          <w:bCs/>
          <w:sz w:val="32"/>
          <w:szCs w:val="32"/>
        </w:rPr>
        <w:t>2.资助承办竞技类体育赛事：</w:t>
      </w:r>
      <w:r>
        <w:rPr>
          <w:rFonts w:hint="eastAsia" w:ascii="仿宋_GB2312" w:eastAsia="仿宋_GB2312"/>
          <w:sz w:val="32"/>
          <w:szCs w:val="32"/>
        </w:rPr>
        <w:t>安排5,775万元用于资助2023年度在我省举办或承办的全国及以上各类型竞赛活动19项次，推进粤港澳大湾区体育事业发展，做好第十五届全国运动会赛前各项准备工作，安全、顺利完成赛事组织和安全生产工作。</w:t>
      </w:r>
    </w:p>
    <w:p>
      <w:pPr>
        <w:spacing w:line="360" w:lineRule="auto"/>
        <w:ind w:firstLine="642" w:firstLineChars="200"/>
      </w:pPr>
      <w:r>
        <w:rPr>
          <w:rFonts w:hint="eastAsia" w:ascii="仿宋_GB2312" w:eastAsia="仿宋_GB2312"/>
          <w:b/>
          <w:bCs/>
          <w:sz w:val="32"/>
          <w:szCs w:val="32"/>
        </w:rPr>
        <w:t>3.运动队保障：</w:t>
      </w:r>
      <w:r>
        <w:rPr>
          <w:rFonts w:hint="eastAsia" w:ascii="仿宋_GB2312" w:eastAsia="仿宋_GB2312"/>
          <w:sz w:val="32"/>
          <w:szCs w:val="32"/>
        </w:rPr>
        <w:t>安排10,582.66万元用于改善我省优秀运动队的训练比赛及生活设施、省级训练中心运动员宿舍及场馆维修改造，以达到科学训练要求；开展退役运动员培训工作，促使运动员顺利转岗.提高退役运动员就业水平。</w:t>
      </w:r>
    </w:p>
    <w:p>
      <w:pPr>
        <w:spacing w:line="360" w:lineRule="auto"/>
        <w:ind w:firstLine="642"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（三）项目绩效目标</w:t>
      </w:r>
    </w:p>
    <w:p>
      <w:pPr>
        <w:snapToGrid/>
        <w:spacing w:line="360" w:lineRule="auto"/>
        <w:ind w:firstLine="640" w:firstLineChars="200"/>
        <w:rPr>
          <w:rFonts w:ascii="仿宋_GB2312" w:eastAsia="仿宋_GB2312"/>
          <w:sz w:val="32"/>
          <w:szCs w:val="32"/>
        </w:rPr>
      </w:pPr>
      <w:r>
        <w:rPr>
          <w:rFonts w:hint="eastAsia" w:ascii="仿宋_GB2312" w:eastAsia="仿宋_GB2312"/>
          <w:sz w:val="32"/>
          <w:szCs w:val="32"/>
        </w:rPr>
        <w:t>根据《广东省财政厅关于告知2023年省级财政专项资金等相关预算安排计划的通知》《广东省财政厅关于下达2023年文化繁荣专项资金（省体育局部分）的通知》（粤财科教〔2023〕72号）等文件，竞技体育项目的三个政策任务绩效目标和指标分别如表1-2、1-3、1-4所示。</w:t>
      </w:r>
    </w:p>
    <w:p>
      <w:pPr>
        <w:spacing w:line="360" w:lineRule="auto"/>
        <w:jc w:val="center"/>
        <w:rPr>
          <w:rFonts w:ascii="黑体" w:hAnsi="黑体" w:eastAsia="黑体" w:cs="黑体"/>
          <w:sz w:val="28"/>
          <w:szCs w:val="28"/>
        </w:rPr>
      </w:pPr>
      <w:r>
        <w:rPr>
          <w:rFonts w:hint="eastAsia" w:ascii="黑体" w:hAnsi="黑体" w:eastAsia="黑体" w:cs="黑体"/>
          <w:sz w:val="28"/>
          <w:szCs w:val="28"/>
        </w:rPr>
        <w:t>表1-2 竞技体育项目（备战重大体育赛事）绩效目标表</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380"/>
        <w:gridCol w:w="1305"/>
        <w:gridCol w:w="3750"/>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4" w:hRule="atLeast"/>
          <w:jc w:val="center"/>
        </w:trPr>
        <w:tc>
          <w:tcPr>
            <w:tcW w:w="1202" w:type="dxa"/>
            <w:shd w:val="clear" w:color="auto" w:fill="DBEEF3"/>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绩效目标</w:t>
            </w:r>
          </w:p>
        </w:tc>
        <w:tc>
          <w:tcPr>
            <w:tcW w:w="7869" w:type="dxa"/>
            <w:gridSpan w:val="4"/>
            <w:vAlign w:val="center"/>
          </w:tcPr>
          <w:p>
            <w:pPr>
              <w:adjustRightInd w:val="0"/>
              <w:snapToGrid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1.提升备战管理，推进训练创新与科技赋能，积极参与国内外各类体育竞赛，切实提高训练备战水准。</w:t>
            </w:r>
          </w:p>
          <w:p>
            <w:pPr>
              <w:adjustRightInd w:val="0"/>
              <w:snapToGrid w:val="0"/>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2.全力以赴备战并参加第19届亚洲运动会（杭州），实现“保持竞争优势，为国家、省份争光”的任务目标。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restart"/>
            <w:shd w:val="clear" w:color="auto" w:fill="DBEEF3"/>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绩效指标</w:t>
            </w:r>
          </w:p>
        </w:tc>
        <w:tc>
          <w:tcPr>
            <w:tcW w:w="13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一级指标</w:t>
            </w:r>
          </w:p>
        </w:tc>
        <w:tc>
          <w:tcPr>
            <w:tcW w:w="130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二级指标</w:t>
            </w:r>
          </w:p>
        </w:tc>
        <w:tc>
          <w:tcPr>
            <w:tcW w:w="37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三级指标</w:t>
            </w:r>
          </w:p>
        </w:tc>
        <w:tc>
          <w:tcPr>
            <w:tcW w:w="14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年度目标值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产出指标</w:t>
            </w:r>
          </w:p>
        </w:tc>
        <w:tc>
          <w:tcPr>
            <w:tcW w:w="1305"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开展优势项目数量（个）</w:t>
            </w:r>
          </w:p>
        </w:tc>
        <w:tc>
          <w:tcPr>
            <w:tcW w:w="1434"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引进高水平教练员人数（人）</w:t>
            </w:r>
          </w:p>
        </w:tc>
        <w:tc>
          <w:tcPr>
            <w:tcW w:w="1434" w:type="dxa"/>
            <w:vAlign w:val="center"/>
          </w:tcPr>
          <w:p>
            <w:pPr>
              <w:widowControl/>
              <w:jc w:val="center"/>
              <w:textAlignment w:val="center"/>
              <w:rPr>
                <w:rFonts w:ascii="仿宋_GB2312" w:hAnsi="仿宋_GB2312" w:eastAsia="仿宋_GB2312" w:cs="仿宋_GB2312"/>
                <w:sz w:val="24"/>
              </w:rPr>
            </w:pPr>
            <w:r>
              <w:rPr>
                <w:rStyle w:val="15"/>
                <w:rFonts w:hint="default" w:ascii="仿宋_GB2312" w:hAnsi="仿宋_GB2312" w:eastAsia="仿宋_GB2312" w:cs="仿宋_GB2312"/>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引进高水平运动员人数（人）</w:t>
            </w:r>
          </w:p>
        </w:tc>
        <w:tc>
          <w:tcPr>
            <w:tcW w:w="1434" w:type="dxa"/>
            <w:vAlign w:val="center"/>
          </w:tcPr>
          <w:p>
            <w:pPr>
              <w:widowControl/>
              <w:jc w:val="center"/>
              <w:textAlignment w:val="center"/>
              <w:rPr>
                <w:rFonts w:ascii="仿宋_GB2312" w:hAnsi="仿宋_GB2312" w:eastAsia="仿宋_GB2312" w:cs="仿宋_GB2312"/>
                <w:sz w:val="24"/>
              </w:rPr>
            </w:pPr>
            <w:r>
              <w:rPr>
                <w:rStyle w:val="15"/>
                <w:rFonts w:hint="default" w:ascii="仿宋_GB2312" w:hAnsi="仿宋_GB2312" w:eastAsia="仿宋_GB2312" w:cs="仿宋_GB2312"/>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引进专业运动领域复合团队专家数（人）</w:t>
            </w:r>
          </w:p>
        </w:tc>
        <w:tc>
          <w:tcPr>
            <w:tcW w:w="1434"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依托社会力量申办和建设高水平运动队的项目数量（个）</w:t>
            </w:r>
          </w:p>
        </w:tc>
        <w:tc>
          <w:tcPr>
            <w:tcW w:w="1434"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参加国内比赛人次（人次）</w:t>
            </w:r>
          </w:p>
        </w:tc>
        <w:tc>
          <w:tcPr>
            <w:tcW w:w="1434" w:type="dxa"/>
            <w:vAlign w:val="center"/>
          </w:tcPr>
          <w:p>
            <w:pPr>
              <w:widowControl/>
              <w:jc w:val="center"/>
              <w:textAlignment w:val="center"/>
              <w:rPr>
                <w:rFonts w:ascii="仿宋_GB2312" w:hAnsi="仿宋_GB2312" w:eastAsia="仿宋_GB2312" w:cs="仿宋_GB2312"/>
                <w:sz w:val="24"/>
              </w:rPr>
            </w:pPr>
            <w:r>
              <w:rPr>
                <w:rStyle w:val="15"/>
                <w:rFonts w:hint="default" w:ascii="仿宋_GB2312" w:hAnsi="仿宋_GB2312" w:eastAsia="仿宋_GB2312" w:cs="仿宋_GB2312"/>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37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pacing w:val="-11"/>
                <w:sz w:val="24"/>
              </w:rPr>
              <w:t>教练员年度考核合格率（%）</w:t>
            </w:r>
          </w:p>
        </w:tc>
        <w:tc>
          <w:tcPr>
            <w:tcW w:w="14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pacing w:val="-11"/>
                <w:sz w:val="24"/>
              </w:rPr>
              <w:t>运动员年度考核合格率（%）</w:t>
            </w:r>
          </w:p>
        </w:tc>
        <w:tc>
          <w:tcPr>
            <w:tcW w:w="14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反兴奋剂培训运动员覆盖率（%）</w:t>
            </w:r>
          </w:p>
        </w:tc>
        <w:tc>
          <w:tcPr>
            <w:tcW w:w="14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pacing w:val="-11"/>
                <w:sz w:val="24"/>
              </w:rPr>
              <w:t>设立二线队伍的项目比例（%）</w:t>
            </w:r>
          </w:p>
        </w:tc>
        <w:tc>
          <w:tcPr>
            <w:tcW w:w="14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效益指标</w:t>
            </w:r>
          </w:p>
        </w:tc>
        <w:tc>
          <w:tcPr>
            <w:tcW w:w="1305"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年度重要一次比赛的金牌数（枚）</w:t>
            </w:r>
          </w:p>
        </w:tc>
        <w:tc>
          <w:tcPr>
            <w:tcW w:w="1434"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亚运会参赛成绩</w:t>
            </w:r>
          </w:p>
        </w:tc>
        <w:tc>
          <w:tcPr>
            <w:tcW w:w="1434"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全国前三名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向国家队输送运动员人数（人）</w:t>
            </w:r>
          </w:p>
        </w:tc>
        <w:tc>
          <w:tcPr>
            <w:tcW w:w="1434"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Merge w:val="continue"/>
            <w:vAlign w:val="center"/>
          </w:tcPr>
          <w:p>
            <w:pPr>
              <w:jc w:val="center"/>
              <w:rPr>
                <w:rFonts w:ascii="仿宋_GB2312" w:hAnsi="仿宋_GB2312" w:eastAsia="仿宋_GB2312" w:cs="仿宋_GB2312"/>
                <w:sz w:val="24"/>
              </w:rPr>
            </w:pPr>
          </w:p>
        </w:tc>
        <w:tc>
          <w:tcPr>
            <w:tcW w:w="375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对体育强省建设工作的促进作用</w:t>
            </w:r>
          </w:p>
        </w:tc>
        <w:tc>
          <w:tcPr>
            <w:tcW w:w="1434"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有效促进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02" w:type="dxa"/>
            <w:vMerge w:val="continue"/>
            <w:shd w:val="clear" w:color="auto" w:fill="DBEEF3"/>
            <w:vAlign w:val="center"/>
          </w:tcPr>
          <w:p>
            <w:pPr>
              <w:jc w:val="center"/>
              <w:rPr>
                <w:rFonts w:ascii="仿宋_GB2312" w:hAnsi="仿宋_GB2312" w:eastAsia="仿宋_GB2312" w:cs="仿宋_GB2312"/>
                <w:b/>
                <w:bCs/>
                <w:sz w:val="24"/>
              </w:rPr>
            </w:pPr>
          </w:p>
        </w:tc>
        <w:tc>
          <w:tcPr>
            <w:tcW w:w="1380" w:type="dxa"/>
            <w:vMerge w:val="continue"/>
            <w:vAlign w:val="center"/>
          </w:tcPr>
          <w:p>
            <w:pPr>
              <w:jc w:val="center"/>
              <w:rPr>
                <w:rFonts w:ascii="仿宋_GB2312" w:hAnsi="仿宋_GB2312" w:eastAsia="仿宋_GB2312" w:cs="仿宋_GB2312"/>
                <w:sz w:val="24"/>
              </w:rPr>
            </w:pPr>
          </w:p>
        </w:tc>
        <w:tc>
          <w:tcPr>
            <w:tcW w:w="130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37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受训人员满意度（%）</w:t>
            </w:r>
          </w:p>
        </w:tc>
        <w:tc>
          <w:tcPr>
            <w:tcW w:w="14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≥90</w:t>
            </w:r>
          </w:p>
        </w:tc>
      </w:tr>
    </w:tbl>
    <w:p>
      <w:pPr>
        <w:spacing w:before="156" w:beforeLines="50" w:line="360" w:lineRule="auto"/>
        <w:jc w:val="center"/>
        <w:rPr>
          <w:rFonts w:ascii="黑体" w:hAnsi="黑体" w:eastAsia="黑体" w:cs="黑体"/>
          <w:sz w:val="28"/>
          <w:szCs w:val="28"/>
        </w:rPr>
      </w:pPr>
      <w:r>
        <w:rPr>
          <w:rFonts w:hint="eastAsia" w:ascii="黑体" w:hAnsi="黑体" w:eastAsia="黑体" w:cs="黑体"/>
          <w:sz w:val="28"/>
          <w:szCs w:val="28"/>
        </w:rPr>
        <w:t>表1-3 竞技体育项目（资助承办竞技类体育赛事）绩效目标表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05"/>
        <w:gridCol w:w="1350"/>
        <w:gridCol w:w="3069"/>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4" w:hRule="atLeast"/>
          <w:jc w:val="center"/>
        </w:trPr>
        <w:tc>
          <w:tcPr>
            <w:tcW w:w="1320" w:type="dxa"/>
            <w:shd w:val="clear" w:color="auto" w:fill="DBEEF3"/>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绩效目标</w:t>
            </w:r>
          </w:p>
        </w:tc>
        <w:tc>
          <w:tcPr>
            <w:tcW w:w="7854" w:type="dxa"/>
            <w:gridSpan w:val="4"/>
            <w:vAlign w:val="center"/>
          </w:tcPr>
          <w:p>
            <w:pPr>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1.精心组织和承办国内外赛事，确保流程顺畅安全。</w:t>
            </w:r>
          </w:p>
          <w:p>
            <w:pPr>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2.加强对各地市业务指导，推动体育事业健康发展。</w:t>
            </w:r>
          </w:p>
          <w:p>
            <w:pPr>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3.推进粤港澳大湾区体育事业协同发展，举办系列赛事活动，培养后备人才。</w:t>
            </w:r>
          </w:p>
          <w:p>
            <w:pPr>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4.完成全运会场馆项目建议书、研究报告编制及立项，制定并执行建设标准和运行设计标准，提供专业咨询服务。</w:t>
            </w:r>
          </w:p>
          <w:p>
            <w:pPr>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5.支持第十五届全运会筹委会队伍建设，协助筹措经费、开展培训；制定落实筹备计划，与媒体合作宣传全运会。</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szCs w:val="28"/>
              </w:rPr>
              <w:t>6.完成筹委会办公场所租赁，优化工作流程，提升效率。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restart"/>
            <w:shd w:val="clear" w:color="auto" w:fill="DBEEF3"/>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绩效指标</w:t>
            </w:r>
          </w:p>
        </w:tc>
        <w:tc>
          <w:tcPr>
            <w:tcW w:w="130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一级指标</w:t>
            </w:r>
          </w:p>
        </w:tc>
        <w:tc>
          <w:tcPr>
            <w:tcW w:w="13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二级指标</w:t>
            </w:r>
          </w:p>
        </w:tc>
        <w:tc>
          <w:tcPr>
            <w:tcW w:w="306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三级指标</w:t>
            </w:r>
          </w:p>
        </w:tc>
        <w:tc>
          <w:tcPr>
            <w:tcW w:w="213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年度目标值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产出指标</w:t>
            </w:r>
          </w:p>
        </w:tc>
        <w:tc>
          <w:tcPr>
            <w:tcW w:w="1350"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宣传报道次数（次）</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在我省举办或承办的全国及以上赛事（项次）</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项目数量</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参赛运动员人数（人）</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≥10600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现场观众人数（人）</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3069" w:type="dxa"/>
            <w:vAlign w:val="center"/>
          </w:tcPr>
          <w:p>
            <w:pPr>
              <w:widowControl/>
              <w:jc w:val="center"/>
              <w:textAlignment w:val="center"/>
              <w:rPr>
                <w:rFonts w:ascii="仿宋_GB2312" w:hAnsi="仿宋_GB2312" w:eastAsia="仿宋_GB2312" w:cs="仿宋_GB2312"/>
                <w:spacing w:val="-11"/>
                <w:sz w:val="24"/>
              </w:rPr>
            </w:pPr>
            <w:r>
              <w:rPr>
                <w:rFonts w:hint="eastAsia" w:ascii="仿宋_GB2312" w:hAnsi="仿宋_GB2312" w:eastAsia="仿宋_GB2312" w:cs="仿宋_GB2312"/>
                <w:color w:val="000000"/>
                <w:kern w:val="0"/>
                <w:sz w:val="24"/>
              </w:rPr>
              <w:t>赛事人为事故发生数（起）</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pacing w:val="-11"/>
                <w:sz w:val="24"/>
              </w:rPr>
            </w:pPr>
            <w:r>
              <w:rPr>
                <w:rFonts w:hint="eastAsia" w:ascii="仿宋_GB2312" w:hAnsi="仿宋_GB2312" w:eastAsia="仿宋_GB2312" w:cs="仿宋_GB2312"/>
                <w:color w:val="000000"/>
                <w:kern w:val="0"/>
                <w:sz w:val="24"/>
              </w:rPr>
              <w:t>项目建议书及可行性研究报告编制（项数）</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重要比赛赛后信息收集进度</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赛后三十天时间内完成信息收集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效益指标</w:t>
            </w:r>
          </w:p>
        </w:tc>
        <w:tc>
          <w:tcPr>
            <w:tcW w:w="1350"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提高公众对体育赛事的关注度</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进一步提升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推进粤港澳大湾区和深圳先行示范区体育国际化发展</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通过举办第十五届全运会，进一步促进粤港澳大湾区体育建设，促进社会交流和融合。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对体育强省建设工作的促进作用</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通过举办第十五届全运会，进一步加快广东体育强省建设。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媒体报道次数（次）</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可持续影响</w:t>
            </w:r>
          </w:p>
        </w:tc>
        <w:tc>
          <w:tcPr>
            <w:tcW w:w="306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建设项目有效性</w:t>
            </w:r>
          </w:p>
        </w:tc>
        <w:tc>
          <w:tcPr>
            <w:tcW w:w="213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长期有效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运动员满意度（%）</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20" w:type="dxa"/>
            <w:vMerge w:val="continue"/>
            <w:shd w:val="clear" w:color="auto" w:fill="DBEEF3"/>
            <w:vAlign w:val="center"/>
          </w:tcPr>
          <w:p>
            <w:pPr>
              <w:jc w:val="center"/>
              <w:rPr>
                <w:rFonts w:ascii="仿宋_GB2312" w:hAnsi="仿宋_GB2312" w:eastAsia="仿宋_GB2312" w:cs="仿宋_GB2312"/>
                <w:b/>
                <w:bCs/>
                <w:sz w:val="24"/>
              </w:rPr>
            </w:pPr>
          </w:p>
        </w:tc>
        <w:tc>
          <w:tcPr>
            <w:tcW w:w="1305" w:type="dxa"/>
            <w:vMerge w:val="continue"/>
            <w:vAlign w:val="center"/>
          </w:tcPr>
          <w:p>
            <w:pPr>
              <w:jc w:val="center"/>
              <w:rPr>
                <w:rFonts w:ascii="仿宋_GB2312" w:hAnsi="仿宋_GB2312" w:eastAsia="仿宋_GB2312" w:cs="仿宋_GB2312"/>
                <w:sz w:val="24"/>
              </w:rPr>
            </w:pPr>
          </w:p>
        </w:tc>
        <w:tc>
          <w:tcPr>
            <w:tcW w:w="1350" w:type="dxa"/>
            <w:vMerge w:val="continue"/>
            <w:vAlign w:val="center"/>
          </w:tcPr>
          <w:p>
            <w:pPr>
              <w:jc w:val="center"/>
              <w:rPr>
                <w:rFonts w:ascii="仿宋_GB2312" w:hAnsi="仿宋_GB2312" w:eastAsia="仿宋_GB2312" w:cs="仿宋_GB2312"/>
                <w:sz w:val="24"/>
              </w:rPr>
            </w:pPr>
          </w:p>
        </w:tc>
        <w:tc>
          <w:tcPr>
            <w:tcW w:w="3069"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服务对象满意度（%）</w:t>
            </w:r>
          </w:p>
        </w:tc>
        <w:tc>
          <w:tcPr>
            <w:tcW w:w="2130"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85</w:t>
            </w:r>
          </w:p>
        </w:tc>
      </w:tr>
    </w:tbl>
    <w:p>
      <w:pPr>
        <w:spacing w:before="156" w:beforeLines="50" w:line="360" w:lineRule="auto"/>
        <w:jc w:val="center"/>
        <w:rPr>
          <w:rFonts w:ascii="黑体" w:hAnsi="黑体" w:eastAsia="黑体" w:cs="黑体"/>
          <w:sz w:val="28"/>
          <w:szCs w:val="28"/>
        </w:rPr>
      </w:pPr>
      <w:r>
        <w:rPr>
          <w:rFonts w:hint="eastAsia" w:ascii="黑体" w:hAnsi="黑体" w:eastAsia="黑体" w:cs="黑体"/>
          <w:sz w:val="28"/>
          <w:szCs w:val="28"/>
        </w:rPr>
        <w:t>表1-4 竞技体育项目（运动队保障）绩效目标表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298"/>
        <w:gridCol w:w="1223"/>
        <w:gridCol w:w="3135"/>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4" w:hRule="atLeast"/>
          <w:jc w:val="center"/>
        </w:trPr>
        <w:tc>
          <w:tcPr>
            <w:tcW w:w="1342" w:type="dxa"/>
            <w:shd w:val="clear" w:color="auto" w:fill="DBEEF3"/>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绩效目标</w:t>
            </w:r>
          </w:p>
        </w:tc>
        <w:tc>
          <w:tcPr>
            <w:tcW w:w="7832" w:type="dxa"/>
            <w:gridSpan w:val="4"/>
            <w:vAlign w:val="center"/>
          </w:tcPr>
          <w:p>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1.培训退役运动员，提高专业水平和就业能力。</w:t>
            </w:r>
          </w:p>
          <w:p>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2.开展二沙中心宿舍和室外管网等配套工程，推进田径场、网球场建设，完善基础设施。</w:t>
            </w:r>
          </w:p>
          <w:p>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3.完成黄村体育训练中心教学楼、食堂、宿舍维修，重竞技馆副馆项目结算。</w:t>
            </w:r>
          </w:p>
          <w:p>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4.船艇中心黄塘激流回旋项目竣工。</w:t>
            </w:r>
          </w:p>
          <w:p>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5.完成各基地零星小额维修项目，改善运动队训练和生活条件。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restart"/>
            <w:shd w:val="clear" w:color="auto" w:fill="DBEEF3"/>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绩效指标</w:t>
            </w:r>
          </w:p>
        </w:tc>
        <w:tc>
          <w:tcPr>
            <w:tcW w:w="129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一级指标</w:t>
            </w:r>
          </w:p>
        </w:tc>
        <w:tc>
          <w:tcPr>
            <w:tcW w:w="122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二级指标</w:t>
            </w:r>
          </w:p>
        </w:tc>
        <w:tc>
          <w:tcPr>
            <w:tcW w:w="313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三级指标</w:t>
            </w:r>
          </w:p>
        </w:tc>
        <w:tc>
          <w:tcPr>
            <w:tcW w:w="21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年度目标值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产出指标</w:t>
            </w:r>
          </w:p>
        </w:tc>
        <w:tc>
          <w:tcPr>
            <w:tcW w:w="1223"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完成工程结算项目数量（个）</w:t>
            </w:r>
          </w:p>
        </w:tc>
        <w:tc>
          <w:tcPr>
            <w:tcW w:w="2176"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continue"/>
            <w:vAlign w:val="center"/>
          </w:tcPr>
          <w:p>
            <w:pPr>
              <w:jc w:val="center"/>
              <w:rPr>
                <w:rFonts w:ascii="仿宋_GB2312" w:hAnsi="仿宋_GB2312" w:eastAsia="仿宋_GB2312" w:cs="仿宋_GB2312"/>
                <w:sz w:val="24"/>
              </w:rPr>
            </w:pP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完成工程结算定案项目数量（个）</w:t>
            </w:r>
          </w:p>
        </w:tc>
        <w:tc>
          <w:tcPr>
            <w:tcW w:w="2176"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continue"/>
            <w:vAlign w:val="center"/>
          </w:tcPr>
          <w:p>
            <w:pPr>
              <w:jc w:val="center"/>
              <w:rPr>
                <w:rFonts w:ascii="仿宋_GB2312" w:hAnsi="仿宋_GB2312" w:eastAsia="仿宋_GB2312" w:cs="仿宋_GB2312"/>
                <w:sz w:val="24"/>
              </w:rPr>
            </w:pP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退役运动员培训次数（次）</w:t>
            </w:r>
          </w:p>
        </w:tc>
        <w:tc>
          <w:tcPr>
            <w:tcW w:w="2176"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continue"/>
            <w:vAlign w:val="center"/>
          </w:tcPr>
          <w:p>
            <w:pPr>
              <w:jc w:val="center"/>
              <w:rPr>
                <w:rFonts w:ascii="仿宋_GB2312" w:hAnsi="仿宋_GB2312" w:eastAsia="仿宋_GB2312" w:cs="仿宋_GB2312"/>
                <w:sz w:val="24"/>
              </w:rPr>
            </w:pP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完成各基地运动队改善设施条件的修改维修项目数量（个）</w:t>
            </w:r>
          </w:p>
        </w:tc>
        <w:tc>
          <w:tcPr>
            <w:tcW w:w="2176"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continue"/>
            <w:vAlign w:val="center"/>
          </w:tcPr>
          <w:p>
            <w:pPr>
              <w:jc w:val="center"/>
              <w:rPr>
                <w:rFonts w:ascii="仿宋_GB2312" w:hAnsi="仿宋_GB2312" w:eastAsia="仿宋_GB2312" w:cs="仿宋_GB2312"/>
                <w:sz w:val="24"/>
              </w:rPr>
            </w:pP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开工建设项目数量（个）</w:t>
            </w:r>
          </w:p>
        </w:tc>
        <w:tc>
          <w:tcPr>
            <w:tcW w:w="2176"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continue"/>
            <w:vAlign w:val="center"/>
          </w:tcPr>
          <w:p>
            <w:pPr>
              <w:jc w:val="center"/>
              <w:rPr>
                <w:rFonts w:ascii="仿宋_GB2312" w:hAnsi="仿宋_GB2312" w:eastAsia="仿宋_GB2312" w:cs="仿宋_GB2312"/>
                <w:sz w:val="24"/>
              </w:rPr>
            </w:pP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举办培训班次数</w:t>
            </w:r>
          </w:p>
        </w:tc>
        <w:tc>
          <w:tcPr>
            <w:tcW w:w="2176"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continue"/>
            <w:vAlign w:val="center"/>
          </w:tcPr>
          <w:p>
            <w:pPr>
              <w:jc w:val="center"/>
              <w:rPr>
                <w:rFonts w:ascii="仿宋_GB2312" w:hAnsi="仿宋_GB2312" w:eastAsia="仿宋_GB2312" w:cs="仿宋_GB2312"/>
                <w:sz w:val="24"/>
              </w:rPr>
            </w:pP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建设面积（平方米）</w:t>
            </w:r>
          </w:p>
        </w:tc>
        <w:tc>
          <w:tcPr>
            <w:tcW w:w="2176"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田径场：二沙中心16438平方米（西1场7886平方米，东2场8552平方米）。室外网球场：二沙中心6880平方米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continue"/>
            <w:vAlign w:val="center"/>
          </w:tcPr>
          <w:p>
            <w:pPr>
              <w:jc w:val="center"/>
              <w:rPr>
                <w:rFonts w:ascii="仿宋_GB2312" w:hAnsi="仿宋_GB2312" w:eastAsia="仿宋_GB2312" w:cs="仿宋_GB2312"/>
                <w:sz w:val="24"/>
              </w:rPr>
            </w:pP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完成项目实体移交数量（个）</w:t>
            </w:r>
          </w:p>
        </w:tc>
        <w:tc>
          <w:tcPr>
            <w:tcW w:w="2176"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313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工程质量验收</w:t>
            </w:r>
          </w:p>
        </w:tc>
        <w:tc>
          <w:tcPr>
            <w:tcW w:w="2176"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313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投入使用时间</w:t>
            </w:r>
          </w:p>
        </w:tc>
        <w:tc>
          <w:tcPr>
            <w:tcW w:w="21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项目实施进度按《省体育局年度基建工作计划》进行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313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项目结算金额</w:t>
            </w:r>
          </w:p>
        </w:tc>
        <w:tc>
          <w:tcPr>
            <w:tcW w:w="21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符合《广东省财政厅关于基本建设财务管理的实施办法》规定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效益指标</w:t>
            </w:r>
          </w:p>
        </w:tc>
        <w:tc>
          <w:tcPr>
            <w:tcW w:w="1223"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313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运动员自主择业率（%）</w:t>
            </w:r>
          </w:p>
        </w:tc>
        <w:tc>
          <w:tcPr>
            <w:tcW w:w="21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continue"/>
            <w:vAlign w:val="center"/>
          </w:tcPr>
          <w:p>
            <w:pPr>
              <w:jc w:val="center"/>
              <w:rPr>
                <w:rFonts w:ascii="仿宋_GB2312" w:hAnsi="仿宋_GB2312" w:eastAsia="仿宋_GB2312" w:cs="仿宋_GB2312"/>
                <w:sz w:val="24"/>
              </w:rPr>
            </w:pPr>
          </w:p>
        </w:tc>
        <w:tc>
          <w:tcPr>
            <w:tcW w:w="313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运动队生活、训练条件</w:t>
            </w:r>
          </w:p>
        </w:tc>
        <w:tc>
          <w:tcPr>
            <w:tcW w:w="21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受训运动员满意度（%）</w:t>
            </w:r>
          </w:p>
        </w:tc>
        <w:tc>
          <w:tcPr>
            <w:tcW w:w="21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42" w:type="dxa"/>
            <w:vMerge w:val="continue"/>
            <w:shd w:val="clear" w:color="auto" w:fill="DBEEF3"/>
            <w:vAlign w:val="center"/>
          </w:tcPr>
          <w:p>
            <w:pPr>
              <w:jc w:val="center"/>
              <w:rPr>
                <w:rFonts w:ascii="仿宋_GB2312" w:hAnsi="仿宋_GB2312" w:eastAsia="仿宋_GB2312" w:cs="仿宋_GB2312"/>
                <w:b/>
                <w:bCs/>
                <w:sz w:val="24"/>
              </w:rPr>
            </w:pPr>
          </w:p>
        </w:tc>
        <w:tc>
          <w:tcPr>
            <w:tcW w:w="1298" w:type="dxa"/>
            <w:vMerge w:val="continue"/>
            <w:vAlign w:val="center"/>
          </w:tcPr>
          <w:p>
            <w:pPr>
              <w:jc w:val="center"/>
              <w:rPr>
                <w:rFonts w:ascii="仿宋_GB2312" w:hAnsi="仿宋_GB2312" w:eastAsia="仿宋_GB2312" w:cs="仿宋_GB2312"/>
                <w:sz w:val="24"/>
              </w:rPr>
            </w:pPr>
          </w:p>
        </w:tc>
        <w:tc>
          <w:tcPr>
            <w:tcW w:w="1223" w:type="dxa"/>
            <w:vMerge w:val="continue"/>
            <w:vAlign w:val="center"/>
          </w:tcPr>
          <w:p>
            <w:pPr>
              <w:jc w:val="center"/>
              <w:rPr>
                <w:rFonts w:ascii="仿宋_GB2312" w:hAnsi="仿宋_GB2312" w:eastAsia="仿宋_GB2312" w:cs="仿宋_GB2312"/>
                <w:sz w:val="24"/>
              </w:rPr>
            </w:pPr>
          </w:p>
        </w:tc>
        <w:tc>
          <w:tcPr>
            <w:tcW w:w="31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rPr>
              <w:t>退役运动员满意度（%）</w:t>
            </w:r>
          </w:p>
        </w:tc>
        <w:tc>
          <w:tcPr>
            <w:tcW w:w="21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≥90</w:t>
            </w:r>
          </w:p>
        </w:tc>
      </w:tr>
    </w:tbl>
    <w:p>
      <w:pPr>
        <w:snapToGrid/>
        <w:spacing w:before="156" w:beforeLines="50" w:line="360" w:lineRule="auto"/>
        <w:ind w:firstLine="640" w:firstLineChars="200"/>
        <w:outlineLvl w:val="0"/>
        <w:rPr>
          <w:rFonts w:ascii="黑体" w:eastAsia="黑体"/>
          <w:sz w:val="32"/>
          <w:szCs w:val="32"/>
        </w:rPr>
      </w:pPr>
      <w:r>
        <w:rPr>
          <w:rFonts w:hint="eastAsia" w:ascii="黑体" w:eastAsia="黑体"/>
          <w:sz w:val="32"/>
          <w:szCs w:val="32"/>
        </w:rPr>
        <w:t>二、自评情况</w:t>
      </w:r>
    </w:p>
    <w:p>
      <w:pPr>
        <w:snapToGrid/>
        <w:spacing w:line="360" w:lineRule="auto"/>
        <w:ind w:firstLine="642"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（一）自评结论</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根据《广东省财政厅关于开展2024年省级财政资金绩效自评工作的通知》的要求，竞技体育项目根据项目绩效自评信息指标评分表的具体标准开展自评。绩效自评从过程、产出、效益三个维度，指标自评采取定性与定量分析相结合的评价方法，按各个政策任务拨付资金额权重（备战重大体育赛事68%、资助承办竞技类体育赛事11%、运动队保障项目21%）进行综合评价。</w:t>
      </w:r>
      <w:r>
        <w:rPr>
          <w:rFonts w:hint="eastAsia" w:ascii="仿宋_GB2312" w:hAnsi="仿宋_GB2312" w:eastAsia="仿宋_GB2312" w:cs="仿宋_GB2312"/>
          <w:sz w:val="32"/>
          <w:szCs w:val="32"/>
        </w:rPr>
        <w:t>经自评，“竞技体育项目”绩效指标得分为97.</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分，自评等级为</w:t>
      </w:r>
      <w:r>
        <w:rPr>
          <w:rFonts w:hint="eastAsia" w:ascii="仿宋_GB2312" w:hAnsi="仿宋_GB2312" w:eastAsia="仿宋_GB2312" w:cs="仿宋_GB2312"/>
          <w:b/>
          <w:bCs/>
          <w:sz w:val="32"/>
          <w:szCs w:val="32"/>
        </w:rPr>
        <w:t>“优”</w:t>
      </w:r>
      <w:r>
        <w:rPr>
          <w:rFonts w:hint="eastAsia" w:ascii="仿宋_GB2312" w:hAnsi="仿宋_GB2312" w:eastAsia="仿宋_GB2312" w:cs="仿宋_GB2312"/>
          <w:sz w:val="32"/>
          <w:szCs w:val="32"/>
        </w:rPr>
        <w:t>。</w:t>
      </w:r>
      <w:r>
        <w:rPr>
          <w:rFonts w:hint="eastAsia" w:ascii="仿宋_GB2312" w:eastAsia="仿宋_GB2312"/>
          <w:sz w:val="32"/>
          <w:szCs w:val="32"/>
        </w:rPr>
        <w:t>该项目一级指标得分情况见表2-1所示。</w:t>
      </w:r>
    </w:p>
    <w:p>
      <w:pPr>
        <w:spacing w:line="360" w:lineRule="auto"/>
        <w:jc w:val="center"/>
        <w:rPr>
          <w:rFonts w:ascii="仿宋_GB2312" w:hAnsi="宋体" w:eastAsia="仿宋_GB2312"/>
          <w:sz w:val="32"/>
          <w:szCs w:val="32"/>
        </w:rPr>
      </w:pPr>
      <w:r>
        <w:rPr>
          <w:rFonts w:hint="eastAsia" w:ascii="黑体" w:hAnsi="黑体" w:eastAsia="黑体" w:cs="黑体"/>
          <w:sz w:val="28"/>
          <w:szCs w:val="28"/>
        </w:rPr>
        <w:t>表2-1 项目一级指标得分情况表</w:t>
      </w:r>
    </w:p>
    <w:tbl>
      <w:tblPr>
        <w:tblStyle w:val="9"/>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946"/>
        <w:gridCol w:w="1657"/>
        <w:gridCol w:w="1781"/>
        <w:gridCol w:w="178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4" w:hRule="atLeast"/>
          <w:jc w:val="center"/>
        </w:trPr>
        <w:tc>
          <w:tcPr>
            <w:tcW w:w="1180" w:type="dxa"/>
            <w:shd w:val="clear" w:color="auto" w:fill="DBEEF3"/>
            <w:vAlign w:val="center"/>
          </w:tcPr>
          <w:p>
            <w:pPr>
              <w:widowControl/>
              <w:jc w:val="center"/>
              <w:rPr>
                <w:rFonts w:ascii="仿宋_GB2312" w:eastAsia="仿宋_GB2312" w:cs="宋体"/>
                <w:b/>
                <w:bCs/>
                <w:kern w:val="0"/>
                <w:sz w:val="24"/>
              </w:rPr>
            </w:pPr>
            <w:r>
              <w:rPr>
                <w:rFonts w:hint="eastAsia" w:ascii="仿宋_GB2312" w:eastAsia="仿宋_GB2312" w:cs="宋体"/>
                <w:b/>
                <w:bCs/>
                <w:kern w:val="0"/>
                <w:sz w:val="24"/>
              </w:rPr>
              <w:t>一级指标</w:t>
            </w:r>
          </w:p>
        </w:tc>
        <w:tc>
          <w:tcPr>
            <w:tcW w:w="919" w:type="dxa"/>
            <w:shd w:val="clear" w:color="auto" w:fill="DBEEF3"/>
            <w:vAlign w:val="center"/>
          </w:tcPr>
          <w:p>
            <w:pPr>
              <w:widowControl/>
              <w:jc w:val="center"/>
              <w:rPr>
                <w:rFonts w:ascii="仿宋_GB2312" w:eastAsia="仿宋_GB2312" w:cs="宋体"/>
                <w:b/>
                <w:bCs/>
                <w:kern w:val="0"/>
                <w:sz w:val="24"/>
              </w:rPr>
            </w:pPr>
            <w:r>
              <w:rPr>
                <w:rFonts w:hint="eastAsia" w:ascii="仿宋_GB2312" w:eastAsia="仿宋_GB2312" w:cs="宋体"/>
                <w:b/>
                <w:bCs/>
                <w:kern w:val="0"/>
                <w:sz w:val="24"/>
              </w:rPr>
              <w:t>分值</w:t>
            </w:r>
          </w:p>
        </w:tc>
        <w:tc>
          <w:tcPr>
            <w:tcW w:w="1611" w:type="dxa"/>
            <w:shd w:val="clear" w:color="auto" w:fill="DBEEF3"/>
            <w:vAlign w:val="center"/>
          </w:tcPr>
          <w:p>
            <w:pPr>
              <w:widowControl/>
              <w:jc w:val="center"/>
              <w:rPr>
                <w:rFonts w:ascii="仿宋_GB2312" w:eastAsia="仿宋_GB2312" w:cs="宋体"/>
                <w:b/>
                <w:bCs/>
                <w:kern w:val="0"/>
                <w:sz w:val="24"/>
              </w:rPr>
            </w:pPr>
            <w:r>
              <w:rPr>
                <w:rFonts w:hint="eastAsia" w:ascii="仿宋_GB2312" w:eastAsia="仿宋_GB2312" w:cs="宋体"/>
                <w:b/>
                <w:bCs/>
                <w:kern w:val="0"/>
                <w:sz w:val="24"/>
              </w:rPr>
              <w:t>备战重大体育赛事</w:t>
            </w:r>
          </w:p>
        </w:tc>
        <w:tc>
          <w:tcPr>
            <w:tcW w:w="1731" w:type="dxa"/>
            <w:shd w:val="clear" w:color="auto" w:fill="DBEEF3"/>
            <w:vAlign w:val="center"/>
          </w:tcPr>
          <w:p>
            <w:pPr>
              <w:widowControl/>
              <w:jc w:val="center"/>
              <w:rPr>
                <w:rFonts w:ascii="仿宋_GB2312" w:eastAsia="仿宋_GB2312" w:cs="宋体"/>
                <w:b/>
                <w:bCs/>
                <w:kern w:val="0"/>
                <w:sz w:val="24"/>
              </w:rPr>
            </w:pPr>
            <w:r>
              <w:rPr>
                <w:rFonts w:hint="eastAsia" w:ascii="仿宋_GB2312" w:eastAsia="仿宋_GB2312" w:cs="宋体"/>
                <w:b/>
                <w:bCs/>
                <w:kern w:val="0"/>
                <w:sz w:val="24"/>
              </w:rPr>
              <w:t>资助承办竞技类体育赛事</w:t>
            </w:r>
          </w:p>
        </w:tc>
        <w:tc>
          <w:tcPr>
            <w:tcW w:w="1732" w:type="dxa"/>
            <w:shd w:val="clear" w:color="auto" w:fill="DBEEF3"/>
            <w:vAlign w:val="center"/>
          </w:tcPr>
          <w:p>
            <w:pPr>
              <w:widowControl/>
              <w:jc w:val="center"/>
              <w:rPr>
                <w:rFonts w:ascii="仿宋_GB2312" w:eastAsia="仿宋_GB2312" w:cs="宋体"/>
                <w:b/>
                <w:bCs/>
                <w:kern w:val="0"/>
                <w:sz w:val="24"/>
              </w:rPr>
            </w:pPr>
            <w:r>
              <w:rPr>
                <w:rFonts w:hint="eastAsia" w:ascii="仿宋_GB2312" w:eastAsia="仿宋_GB2312" w:cs="宋体"/>
                <w:b/>
                <w:bCs/>
                <w:kern w:val="0"/>
                <w:sz w:val="24"/>
              </w:rPr>
              <w:t>运动队保障</w:t>
            </w:r>
          </w:p>
          <w:p>
            <w:pPr>
              <w:widowControl/>
              <w:jc w:val="center"/>
              <w:rPr>
                <w:rFonts w:ascii="仿宋_GB2312" w:eastAsia="仿宋_GB2312" w:cs="宋体"/>
                <w:b/>
                <w:bCs/>
                <w:kern w:val="0"/>
                <w:sz w:val="24"/>
              </w:rPr>
            </w:pPr>
            <w:r>
              <w:rPr>
                <w:rFonts w:hint="eastAsia" w:ascii="仿宋_GB2312" w:eastAsia="仿宋_GB2312" w:cs="宋体"/>
                <w:b/>
                <w:bCs/>
                <w:kern w:val="0"/>
                <w:sz w:val="24"/>
              </w:rPr>
              <w:t>项目</w:t>
            </w:r>
          </w:p>
        </w:tc>
        <w:tc>
          <w:tcPr>
            <w:tcW w:w="1423" w:type="dxa"/>
            <w:shd w:val="clear" w:color="auto" w:fill="DBEEF3"/>
            <w:vAlign w:val="center"/>
          </w:tcPr>
          <w:p>
            <w:pPr>
              <w:widowControl/>
              <w:jc w:val="center"/>
              <w:rPr>
                <w:rFonts w:ascii="仿宋_GB2312" w:eastAsia="仿宋_GB2312" w:cs="宋体"/>
                <w:b/>
                <w:bCs/>
                <w:kern w:val="0"/>
                <w:sz w:val="24"/>
              </w:rPr>
            </w:pPr>
            <w:r>
              <w:rPr>
                <w:rFonts w:hint="eastAsia" w:ascii="仿宋_GB2312" w:eastAsia="仿宋_GB2312" w:cs="宋体"/>
                <w:b/>
                <w:bCs/>
                <w:kern w:val="0"/>
                <w:sz w:val="24"/>
              </w:rPr>
              <w:t>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1180" w:type="dxa"/>
            <w:shd w:val="clear" w:color="auto" w:fill="auto"/>
            <w:vAlign w:val="center"/>
          </w:tcPr>
          <w:p>
            <w:pPr>
              <w:spacing w:line="360" w:lineRule="auto"/>
              <w:jc w:val="center"/>
              <w:rPr>
                <w:rFonts w:ascii="仿宋_GB2312" w:hAnsi="仿宋_GB2312" w:eastAsia="仿宋_GB2312"/>
                <w:sz w:val="24"/>
              </w:rPr>
            </w:pPr>
            <w:r>
              <w:rPr>
                <w:rFonts w:hint="eastAsia" w:ascii="仿宋_GB2312" w:hAnsi="仿宋_GB2312" w:eastAsia="仿宋_GB2312"/>
                <w:sz w:val="24"/>
              </w:rPr>
              <w:t>过程</w:t>
            </w:r>
          </w:p>
        </w:tc>
        <w:tc>
          <w:tcPr>
            <w:tcW w:w="919" w:type="dxa"/>
            <w:shd w:val="clear" w:color="auto" w:fill="auto"/>
            <w:vAlign w:val="center"/>
          </w:tcPr>
          <w:p>
            <w:pPr>
              <w:spacing w:line="360" w:lineRule="auto"/>
              <w:jc w:val="center"/>
              <w:rPr>
                <w:rFonts w:ascii="仿宋_GB2312" w:hAnsi="仿宋_GB2312" w:eastAsia="仿宋_GB2312"/>
                <w:sz w:val="24"/>
              </w:rPr>
            </w:pPr>
            <w:r>
              <w:rPr>
                <w:rFonts w:hint="eastAsia" w:ascii="仿宋_GB2312" w:hAnsi="仿宋_GB2312" w:eastAsia="仿宋_GB2312"/>
                <w:sz w:val="24"/>
              </w:rPr>
              <w:t>20</w:t>
            </w:r>
          </w:p>
        </w:tc>
        <w:tc>
          <w:tcPr>
            <w:tcW w:w="1611" w:type="dxa"/>
            <w:shd w:val="clear" w:color="auto" w:fill="auto"/>
            <w:vAlign w:val="center"/>
          </w:tcPr>
          <w:p>
            <w:pPr>
              <w:widowControl/>
              <w:jc w:val="center"/>
              <w:textAlignment w:val="center"/>
              <w:rPr>
                <w:rFonts w:ascii="仿宋_GB2312" w:hAnsi="仿宋_GB2312" w:eastAsia="仿宋_GB2312"/>
                <w:sz w:val="24"/>
              </w:rPr>
            </w:pPr>
            <w:r>
              <w:rPr>
                <w:rFonts w:hint="eastAsia" w:ascii="仿宋_GB2312" w:hAnsi="宋体" w:eastAsia="仿宋_GB2312" w:cs="仿宋_GB2312"/>
                <w:color w:val="000000"/>
                <w:kern w:val="0"/>
                <w:sz w:val="24"/>
              </w:rPr>
              <w:t>19.48</w:t>
            </w:r>
          </w:p>
        </w:tc>
        <w:tc>
          <w:tcPr>
            <w:tcW w:w="1731" w:type="dxa"/>
            <w:shd w:val="clear" w:color="auto" w:fill="auto"/>
            <w:vAlign w:val="center"/>
          </w:tcPr>
          <w:p>
            <w:pPr>
              <w:widowControl/>
              <w:jc w:val="center"/>
              <w:textAlignment w:val="center"/>
              <w:rPr>
                <w:rFonts w:ascii="仿宋_GB2312" w:eastAsia="仿宋_GB2312"/>
                <w:sz w:val="24"/>
              </w:rPr>
            </w:pPr>
            <w:r>
              <w:rPr>
                <w:rFonts w:hint="eastAsia" w:ascii="仿宋_GB2312" w:hAnsi="宋体" w:eastAsia="仿宋_GB2312" w:cs="仿宋_GB2312"/>
                <w:color w:val="000000"/>
                <w:kern w:val="0"/>
                <w:sz w:val="24"/>
              </w:rPr>
              <w:t>14.46</w:t>
            </w:r>
          </w:p>
        </w:tc>
        <w:tc>
          <w:tcPr>
            <w:tcW w:w="1732" w:type="dxa"/>
            <w:shd w:val="clear" w:color="auto" w:fill="auto"/>
            <w:vAlign w:val="center"/>
          </w:tcPr>
          <w:p>
            <w:pPr>
              <w:widowControl/>
              <w:jc w:val="center"/>
              <w:textAlignment w:val="center"/>
              <w:rPr>
                <w:rFonts w:ascii="仿宋_GB2312" w:eastAsia="仿宋_GB2312"/>
                <w:sz w:val="24"/>
              </w:rPr>
            </w:pPr>
            <w:r>
              <w:rPr>
                <w:rFonts w:hint="eastAsia" w:ascii="仿宋_GB2312" w:hAnsi="宋体" w:eastAsia="仿宋_GB2312" w:cs="仿宋_GB2312"/>
                <w:color w:val="000000"/>
                <w:kern w:val="0"/>
                <w:sz w:val="24"/>
              </w:rPr>
              <w:t>14.66</w:t>
            </w:r>
          </w:p>
        </w:tc>
        <w:tc>
          <w:tcPr>
            <w:tcW w:w="1423" w:type="dxa"/>
            <w:shd w:val="clear" w:color="auto" w:fill="auto"/>
            <w:vAlign w:val="center"/>
          </w:tcPr>
          <w:p>
            <w:pPr>
              <w:widowControl/>
              <w:jc w:val="center"/>
              <w:textAlignment w:val="center"/>
              <w:rPr>
                <w:rFonts w:ascii="仿宋_GB2312" w:eastAsia="仿宋_GB2312"/>
                <w:sz w:val="24"/>
              </w:rPr>
            </w:pPr>
            <w:r>
              <w:rPr>
                <w:rFonts w:hint="eastAsia" w:ascii="仿宋_GB2312" w:hAnsi="宋体" w:eastAsia="仿宋_GB2312" w:cs="仿宋_GB2312"/>
                <w:color w:val="000000"/>
                <w:kern w:val="0"/>
                <w:sz w:val="24"/>
              </w:rPr>
              <w:t>17.92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1180" w:type="dxa"/>
            <w:shd w:val="clear" w:color="auto" w:fill="auto"/>
            <w:vAlign w:val="center"/>
          </w:tcPr>
          <w:p>
            <w:pPr>
              <w:spacing w:line="360" w:lineRule="auto"/>
              <w:jc w:val="center"/>
              <w:rPr>
                <w:rFonts w:ascii="仿宋_GB2312" w:hAnsi="仿宋_GB2312" w:eastAsia="仿宋_GB2312"/>
                <w:sz w:val="24"/>
              </w:rPr>
            </w:pPr>
            <w:r>
              <w:rPr>
                <w:rFonts w:hint="eastAsia" w:ascii="仿宋_GB2312" w:hAnsi="仿宋_GB2312" w:eastAsia="仿宋_GB2312"/>
                <w:sz w:val="24"/>
              </w:rPr>
              <w:t>产出</w:t>
            </w:r>
          </w:p>
        </w:tc>
        <w:tc>
          <w:tcPr>
            <w:tcW w:w="919" w:type="dxa"/>
            <w:shd w:val="clear" w:color="auto" w:fill="auto"/>
            <w:vAlign w:val="center"/>
          </w:tcPr>
          <w:p>
            <w:pPr>
              <w:spacing w:line="360" w:lineRule="auto"/>
              <w:jc w:val="center"/>
              <w:rPr>
                <w:rFonts w:ascii="仿宋_GB2312" w:hAnsi="仿宋_GB2312" w:eastAsia="仿宋_GB2312"/>
                <w:sz w:val="24"/>
              </w:rPr>
            </w:pPr>
            <w:r>
              <w:rPr>
                <w:rFonts w:hint="eastAsia" w:ascii="仿宋_GB2312" w:hAnsi="仿宋_GB2312" w:eastAsia="仿宋_GB2312"/>
                <w:sz w:val="24"/>
              </w:rPr>
              <w:t>40</w:t>
            </w:r>
          </w:p>
        </w:tc>
        <w:tc>
          <w:tcPr>
            <w:tcW w:w="1611" w:type="dxa"/>
            <w:shd w:val="clear" w:color="auto" w:fill="auto"/>
            <w:vAlign w:val="center"/>
          </w:tcPr>
          <w:p>
            <w:pPr>
              <w:widowControl/>
              <w:jc w:val="center"/>
              <w:textAlignment w:val="center"/>
              <w:rPr>
                <w:rFonts w:ascii="仿宋_GB2312" w:hAnsi="仿宋_GB2312" w:eastAsia="仿宋_GB2312"/>
                <w:sz w:val="24"/>
              </w:rPr>
            </w:pPr>
            <w:r>
              <w:rPr>
                <w:rFonts w:hint="eastAsia" w:ascii="仿宋_GB2312" w:hAnsi="仿宋_GB2312" w:eastAsia="仿宋_GB2312"/>
                <w:sz w:val="24"/>
              </w:rPr>
              <w:t>40</w:t>
            </w:r>
          </w:p>
        </w:tc>
        <w:tc>
          <w:tcPr>
            <w:tcW w:w="1731" w:type="dxa"/>
            <w:shd w:val="clear" w:color="auto" w:fill="auto"/>
            <w:vAlign w:val="center"/>
          </w:tcPr>
          <w:p>
            <w:pPr>
              <w:widowControl/>
              <w:jc w:val="center"/>
              <w:textAlignment w:val="center"/>
              <w:rPr>
                <w:rFonts w:ascii="仿宋_GB2312" w:eastAsia="仿宋_GB2312"/>
                <w:sz w:val="24"/>
              </w:rPr>
            </w:pPr>
            <w:r>
              <w:rPr>
                <w:rFonts w:hint="eastAsia" w:ascii="仿宋_GB2312" w:eastAsia="仿宋_GB2312"/>
                <w:sz w:val="24"/>
              </w:rPr>
              <w:t>40</w:t>
            </w:r>
          </w:p>
        </w:tc>
        <w:tc>
          <w:tcPr>
            <w:tcW w:w="1732" w:type="dxa"/>
            <w:shd w:val="clear" w:color="auto" w:fill="auto"/>
            <w:vAlign w:val="center"/>
          </w:tcPr>
          <w:p>
            <w:pPr>
              <w:widowControl/>
              <w:jc w:val="center"/>
              <w:textAlignment w:val="center"/>
              <w:rPr>
                <w:rFonts w:hint="default" w:ascii="仿宋_GB2312" w:eastAsia="仿宋_GB2312"/>
                <w:sz w:val="24"/>
                <w:lang w:val="en-US" w:eastAsia="zh-CN"/>
              </w:rPr>
            </w:pPr>
            <w:r>
              <w:rPr>
                <w:rFonts w:hint="eastAsia" w:ascii="仿宋_GB2312" w:eastAsia="仿宋_GB2312"/>
                <w:sz w:val="24"/>
                <w:lang w:val="en-US" w:eastAsia="zh-CN"/>
              </w:rPr>
              <w:t>40</w:t>
            </w:r>
          </w:p>
        </w:tc>
        <w:tc>
          <w:tcPr>
            <w:tcW w:w="1423" w:type="dxa"/>
            <w:shd w:val="clear" w:color="auto" w:fill="auto"/>
            <w:vAlign w:val="center"/>
          </w:tcPr>
          <w:p>
            <w:pPr>
              <w:widowControl/>
              <w:jc w:val="center"/>
              <w:textAlignment w:val="center"/>
              <w:rPr>
                <w:rFonts w:hint="default" w:ascii="仿宋_GB2312" w:eastAsia="仿宋_GB2312"/>
                <w:sz w:val="24"/>
                <w:lang w:val="en-US" w:eastAsia="zh-CN"/>
              </w:rPr>
            </w:pPr>
            <w:r>
              <w:rPr>
                <w:rFonts w:hint="eastAsia" w:ascii="仿宋_GB2312" w:eastAsia="仿宋_GB2312"/>
                <w:sz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1180" w:type="dxa"/>
            <w:shd w:val="clear" w:color="auto" w:fill="auto"/>
            <w:vAlign w:val="center"/>
          </w:tcPr>
          <w:p>
            <w:pPr>
              <w:spacing w:line="360" w:lineRule="auto"/>
              <w:jc w:val="center"/>
              <w:rPr>
                <w:rFonts w:ascii="仿宋_GB2312" w:hAnsi="仿宋_GB2312" w:eastAsia="仿宋_GB2312"/>
                <w:sz w:val="24"/>
              </w:rPr>
            </w:pPr>
            <w:r>
              <w:rPr>
                <w:rFonts w:hint="eastAsia" w:ascii="仿宋_GB2312" w:hAnsi="仿宋_GB2312" w:eastAsia="仿宋_GB2312"/>
                <w:sz w:val="24"/>
              </w:rPr>
              <w:t>效益</w:t>
            </w:r>
          </w:p>
        </w:tc>
        <w:tc>
          <w:tcPr>
            <w:tcW w:w="919" w:type="dxa"/>
            <w:shd w:val="clear" w:color="auto" w:fill="auto"/>
            <w:vAlign w:val="center"/>
          </w:tcPr>
          <w:p>
            <w:pPr>
              <w:spacing w:line="360" w:lineRule="auto"/>
              <w:jc w:val="center"/>
              <w:rPr>
                <w:rFonts w:ascii="仿宋_GB2312" w:hAnsi="仿宋_GB2312" w:eastAsia="仿宋_GB2312"/>
                <w:sz w:val="24"/>
              </w:rPr>
            </w:pPr>
            <w:r>
              <w:rPr>
                <w:rFonts w:hint="eastAsia" w:ascii="仿宋_GB2312" w:hAnsi="仿宋_GB2312" w:eastAsia="仿宋_GB2312"/>
                <w:sz w:val="24"/>
              </w:rPr>
              <w:t>40</w:t>
            </w:r>
          </w:p>
        </w:tc>
        <w:tc>
          <w:tcPr>
            <w:tcW w:w="1611" w:type="dxa"/>
            <w:shd w:val="clear" w:color="auto" w:fill="auto"/>
            <w:vAlign w:val="center"/>
          </w:tcPr>
          <w:p>
            <w:pPr>
              <w:widowControl/>
              <w:jc w:val="center"/>
              <w:textAlignment w:val="center"/>
              <w:rPr>
                <w:rFonts w:ascii="仿宋_GB2312" w:hAnsi="仿宋_GB2312" w:eastAsia="仿宋_GB2312"/>
                <w:sz w:val="24"/>
              </w:rPr>
            </w:pPr>
            <w:r>
              <w:rPr>
                <w:rFonts w:hint="eastAsia" w:ascii="仿宋_GB2312" w:hAnsi="仿宋_GB2312" w:eastAsia="仿宋_GB2312"/>
                <w:sz w:val="24"/>
              </w:rPr>
              <w:t>40</w:t>
            </w:r>
          </w:p>
        </w:tc>
        <w:tc>
          <w:tcPr>
            <w:tcW w:w="1731" w:type="dxa"/>
            <w:shd w:val="clear" w:color="auto" w:fill="auto"/>
            <w:vAlign w:val="center"/>
          </w:tcPr>
          <w:p>
            <w:pPr>
              <w:widowControl/>
              <w:jc w:val="center"/>
              <w:textAlignment w:val="center"/>
              <w:rPr>
                <w:rFonts w:ascii="仿宋_GB2312" w:eastAsia="仿宋_GB2312"/>
                <w:sz w:val="24"/>
              </w:rPr>
            </w:pPr>
            <w:r>
              <w:rPr>
                <w:rFonts w:hint="eastAsia" w:ascii="仿宋_GB2312" w:eastAsia="仿宋_GB2312"/>
                <w:sz w:val="24"/>
              </w:rPr>
              <w:t>40</w:t>
            </w:r>
          </w:p>
        </w:tc>
        <w:tc>
          <w:tcPr>
            <w:tcW w:w="1732" w:type="dxa"/>
            <w:shd w:val="clear" w:color="auto" w:fill="auto"/>
            <w:vAlign w:val="center"/>
          </w:tcPr>
          <w:p>
            <w:pPr>
              <w:widowControl/>
              <w:jc w:val="center"/>
              <w:textAlignment w:val="center"/>
              <w:rPr>
                <w:rFonts w:ascii="仿宋_GB2312" w:eastAsia="仿宋_GB2312"/>
                <w:sz w:val="24"/>
              </w:rPr>
            </w:pPr>
            <w:r>
              <w:rPr>
                <w:rFonts w:hint="eastAsia" w:ascii="仿宋_GB2312" w:eastAsia="仿宋_GB2312"/>
                <w:sz w:val="24"/>
              </w:rPr>
              <w:t>40</w:t>
            </w:r>
          </w:p>
        </w:tc>
        <w:tc>
          <w:tcPr>
            <w:tcW w:w="1423" w:type="dxa"/>
            <w:shd w:val="clear" w:color="auto" w:fill="auto"/>
            <w:vAlign w:val="center"/>
          </w:tcPr>
          <w:p>
            <w:pPr>
              <w:widowControl/>
              <w:jc w:val="center"/>
              <w:textAlignment w:val="center"/>
              <w:rPr>
                <w:rFonts w:ascii="仿宋_GB2312" w:eastAsia="仿宋_GB2312"/>
                <w:sz w:val="24"/>
              </w:rPr>
            </w:pPr>
            <w:r>
              <w:rPr>
                <w:rFonts w:hint="eastAsia" w:ascii="仿宋_GB2312" w:eastAsia="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1180" w:type="dxa"/>
            <w:shd w:val="clear" w:color="auto" w:fill="DBEEF3"/>
            <w:vAlign w:val="center"/>
          </w:tcPr>
          <w:p>
            <w:pPr>
              <w:spacing w:line="360" w:lineRule="auto"/>
              <w:jc w:val="center"/>
              <w:rPr>
                <w:rFonts w:ascii="仿宋_GB2312" w:hAnsi="仿宋_GB2312" w:eastAsia="仿宋_GB2312"/>
                <w:b/>
                <w:bCs/>
                <w:sz w:val="24"/>
              </w:rPr>
            </w:pPr>
            <w:r>
              <w:rPr>
                <w:rFonts w:hint="eastAsia" w:ascii="仿宋_GB2312" w:hAnsi="仿宋_GB2312" w:eastAsia="仿宋_GB2312"/>
                <w:b/>
                <w:bCs/>
                <w:sz w:val="24"/>
              </w:rPr>
              <w:t>合计</w:t>
            </w:r>
          </w:p>
        </w:tc>
        <w:tc>
          <w:tcPr>
            <w:tcW w:w="919" w:type="dxa"/>
            <w:shd w:val="clear" w:color="auto" w:fill="DBEEF3"/>
            <w:vAlign w:val="center"/>
          </w:tcPr>
          <w:p>
            <w:pPr>
              <w:spacing w:line="360" w:lineRule="auto"/>
              <w:jc w:val="center"/>
              <w:rPr>
                <w:rFonts w:ascii="仿宋_GB2312" w:hAnsi="仿宋_GB2312" w:eastAsia="仿宋_GB2312"/>
                <w:b/>
                <w:bCs/>
                <w:sz w:val="24"/>
              </w:rPr>
            </w:pPr>
            <w:r>
              <w:rPr>
                <w:rFonts w:hint="eastAsia" w:ascii="仿宋_GB2312" w:hAnsi="仿宋_GB2312" w:eastAsia="仿宋_GB2312"/>
                <w:b/>
                <w:bCs/>
                <w:sz w:val="24"/>
              </w:rPr>
              <w:t>100</w:t>
            </w:r>
          </w:p>
        </w:tc>
        <w:tc>
          <w:tcPr>
            <w:tcW w:w="1611" w:type="dxa"/>
            <w:shd w:val="clear" w:color="auto" w:fill="DBEEF3"/>
            <w:vAlign w:val="center"/>
          </w:tcPr>
          <w:p>
            <w:pPr>
              <w:widowControl/>
              <w:jc w:val="center"/>
              <w:textAlignment w:val="center"/>
              <w:rPr>
                <w:rFonts w:ascii="仿宋_GB2312" w:eastAsia="仿宋_GB2312" w:cs="宋体"/>
                <w:b/>
                <w:bCs/>
                <w:kern w:val="0"/>
                <w:sz w:val="24"/>
              </w:rPr>
            </w:pPr>
            <w:r>
              <w:rPr>
                <w:rFonts w:hint="eastAsia" w:ascii="仿宋_GB2312" w:eastAsia="仿宋_GB2312" w:cs="宋体"/>
                <w:b/>
                <w:bCs/>
                <w:kern w:val="0"/>
                <w:sz w:val="24"/>
              </w:rPr>
              <w:t>99.48</w:t>
            </w:r>
          </w:p>
        </w:tc>
        <w:tc>
          <w:tcPr>
            <w:tcW w:w="1731" w:type="dxa"/>
            <w:shd w:val="clear" w:color="auto" w:fill="DBEEF3"/>
            <w:vAlign w:val="center"/>
          </w:tcPr>
          <w:p>
            <w:pPr>
              <w:widowControl/>
              <w:jc w:val="center"/>
              <w:textAlignment w:val="center"/>
              <w:rPr>
                <w:rFonts w:ascii="仿宋_GB2312" w:eastAsia="仿宋_GB2312" w:cs="宋体"/>
                <w:b/>
                <w:bCs/>
                <w:kern w:val="0"/>
                <w:sz w:val="24"/>
              </w:rPr>
            </w:pPr>
            <w:r>
              <w:rPr>
                <w:rFonts w:hint="eastAsia" w:ascii="仿宋_GB2312" w:eastAsia="仿宋_GB2312" w:cs="宋体"/>
                <w:b/>
                <w:bCs/>
                <w:kern w:val="0"/>
                <w:sz w:val="24"/>
              </w:rPr>
              <w:t>94.46</w:t>
            </w:r>
          </w:p>
        </w:tc>
        <w:tc>
          <w:tcPr>
            <w:tcW w:w="1732" w:type="dxa"/>
            <w:shd w:val="clear" w:color="auto" w:fill="DBEEF3"/>
            <w:vAlign w:val="center"/>
          </w:tcPr>
          <w:p>
            <w:pPr>
              <w:widowControl/>
              <w:jc w:val="center"/>
              <w:textAlignment w:val="center"/>
              <w:rPr>
                <w:rFonts w:hint="default" w:ascii="仿宋_GB2312" w:eastAsia="仿宋_GB2312" w:cs="宋体"/>
                <w:b/>
                <w:bCs/>
                <w:kern w:val="0"/>
                <w:sz w:val="24"/>
                <w:lang w:val="en-US" w:eastAsia="zh-CN"/>
              </w:rPr>
            </w:pPr>
            <w:r>
              <w:rPr>
                <w:rFonts w:hint="eastAsia" w:ascii="仿宋_GB2312" w:eastAsia="仿宋_GB2312" w:cs="宋体"/>
                <w:b/>
                <w:bCs/>
                <w:kern w:val="0"/>
                <w:sz w:val="24"/>
                <w:lang w:val="en-US" w:eastAsia="zh-CN"/>
              </w:rPr>
              <w:t>94.66</w:t>
            </w:r>
          </w:p>
        </w:tc>
        <w:tc>
          <w:tcPr>
            <w:tcW w:w="1423" w:type="dxa"/>
            <w:shd w:val="clear" w:color="auto" w:fill="DBEEF3"/>
            <w:vAlign w:val="center"/>
          </w:tcPr>
          <w:p>
            <w:pPr>
              <w:widowControl/>
              <w:jc w:val="center"/>
              <w:textAlignment w:val="center"/>
              <w:rPr>
                <w:rFonts w:hint="default" w:ascii="仿宋_GB2312" w:eastAsia="仿宋_GB2312" w:cs="宋体"/>
                <w:b/>
                <w:bCs/>
                <w:kern w:val="0"/>
                <w:sz w:val="24"/>
                <w:lang w:val="en-US" w:eastAsia="zh-CN"/>
              </w:rPr>
            </w:pPr>
            <w:r>
              <w:rPr>
                <w:rFonts w:hint="eastAsia" w:ascii="仿宋_GB2312" w:eastAsia="仿宋_GB2312" w:cs="宋体"/>
                <w:b/>
                <w:bCs/>
                <w:kern w:val="0"/>
                <w:sz w:val="24"/>
              </w:rPr>
              <w:t>97.</w:t>
            </w:r>
            <w:r>
              <w:rPr>
                <w:rFonts w:hint="eastAsia" w:ascii="仿宋_GB2312" w:eastAsia="仿宋_GB2312" w:cs="宋体"/>
                <w:b/>
                <w:bCs/>
                <w:kern w:val="0"/>
                <w:sz w:val="24"/>
                <w:lang w:val="en-US" w:eastAsia="zh-CN"/>
              </w:rPr>
              <w:t>92</w:t>
            </w:r>
          </w:p>
        </w:tc>
      </w:tr>
    </w:tbl>
    <w:p>
      <w:pPr>
        <w:widowControl/>
        <w:spacing w:before="156" w:beforeLines="50" w:line="360" w:lineRule="auto"/>
        <w:ind w:firstLine="642"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（二）专项资金使用绩效</w:t>
      </w:r>
    </w:p>
    <w:p>
      <w:pPr>
        <w:spacing w:line="360" w:lineRule="auto"/>
        <w:ind w:firstLine="642" w:firstLineChars="200"/>
        <w:outlineLvl w:val="2"/>
        <w:rPr>
          <w:rFonts w:ascii="仿宋_GB2312" w:eastAsia="仿宋_GB2312"/>
          <w:b/>
          <w:bCs/>
          <w:sz w:val="32"/>
          <w:szCs w:val="32"/>
        </w:rPr>
      </w:pPr>
      <w:r>
        <w:rPr>
          <w:rFonts w:hint="eastAsia" w:ascii="仿宋_GB2312" w:eastAsia="仿宋_GB2312"/>
          <w:b/>
          <w:bCs/>
          <w:sz w:val="32"/>
          <w:szCs w:val="32"/>
        </w:rPr>
        <w:t>1.专项资金支出情况</w:t>
      </w:r>
    </w:p>
    <w:p>
      <w:pPr>
        <w:spacing w:line="360" w:lineRule="auto"/>
        <w:ind w:firstLine="640" w:firstLineChars="200"/>
        <w:rPr>
          <w:rFonts w:ascii="仿宋_GB2312" w:hAnsi="宋体" w:eastAsia="仿宋_GB2312"/>
          <w:color w:val="0000FF"/>
          <w:kern w:val="0"/>
          <w:sz w:val="32"/>
          <w:szCs w:val="32"/>
        </w:rPr>
      </w:pPr>
      <w:r>
        <w:rPr>
          <w:rFonts w:hint="eastAsia" w:ascii="仿宋_GB2312" w:hAnsi="宋体" w:eastAsia="仿宋_GB2312"/>
          <w:kern w:val="0"/>
          <w:sz w:val="32"/>
          <w:szCs w:val="32"/>
        </w:rPr>
        <w:t>竞技体育项目下达资金总计52,829</w:t>
      </w:r>
      <w:r>
        <w:rPr>
          <w:rFonts w:ascii="仿宋_GB2312" w:hAnsi="宋体" w:eastAsia="仿宋_GB2312"/>
          <w:kern w:val="0"/>
          <w:sz w:val="32"/>
          <w:szCs w:val="32"/>
        </w:rPr>
        <w:t>万元，</w:t>
      </w:r>
      <w:r>
        <w:rPr>
          <w:rFonts w:hint="eastAsia" w:ascii="仿宋_GB2312" w:eastAsia="仿宋_GB2312"/>
          <w:sz w:val="32"/>
          <w:szCs w:val="32"/>
        </w:rPr>
        <w:t>我局年末申</w:t>
      </w:r>
      <w:r>
        <w:rPr>
          <w:rFonts w:hint="eastAsia" w:ascii="仿宋_GB2312" w:hAnsi="宋体" w:eastAsia="仿宋_GB2312"/>
          <w:kern w:val="0"/>
          <w:sz w:val="32"/>
          <w:szCs w:val="32"/>
        </w:rPr>
        <w:t>请收回2</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000</w:t>
      </w:r>
      <w:r>
        <w:rPr>
          <w:rFonts w:ascii="仿宋_GB2312" w:hAnsi="宋体" w:eastAsia="仿宋_GB2312"/>
          <w:kern w:val="0"/>
          <w:sz w:val="32"/>
          <w:szCs w:val="32"/>
        </w:rPr>
        <w:t>万元</w:t>
      </w:r>
      <w:r>
        <w:rPr>
          <w:rFonts w:hint="eastAsia" w:ascii="仿宋_GB2312" w:hAnsi="宋体" w:eastAsia="仿宋_GB2312"/>
          <w:kern w:val="0"/>
          <w:sz w:val="32"/>
          <w:szCs w:val="32"/>
          <w:lang w:eastAsia="zh-CN"/>
        </w:rPr>
        <w:t>（十五运场馆维修改造项目）</w:t>
      </w:r>
      <w:r>
        <w:rPr>
          <w:rFonts w:ascii="仿宋_GB2312" w:hAnsi="宋体" w:eastAsia="仿宋_GB2312"/>
          <w:kern w:val="0"/>
          <w:sz w:val="32"/>
          <w:szCs w:val="32"/>
        </w:rPr>
        <w:t>，实际下达资金</w:t>
      </w:r>
      <w:r>
        <w:rPr>
          <w:rFonts w:hint="eastAsia" w:ascii="仿宋_GB2312" w:hAnsi="宋体" w:eastAsia="仿宋_GB2312"/>
          <w:kern w:val="0"/>
          <w:sz w:val="32"/>
          <w:szCs w:val="32"/>
        </w:rPr>
        <w:t>50,829</w:t>
      </w:r>
      <w:r>
        <w:rPr>
          <w:rFonts w:ascii="仿宋_GB2312" w:hAnsi="宋体" w:eastAsia="仿宋_GB2312"/>
          <w:kern w:val="0"/>
          <w:sz w:val="32"/>
          <w:szCs w:val="32"/>
        </w:rPr>
        <w:t>万元。截至</w:t>
      </w:r>
      <w:r>
        <w:rPr>
          <w:rFonts w:hint="eastAsia" w:ascii="仿宋_GB2312" w:hAnsi="宋体" w:eastAsia="仿宋_GB2312"/>
          <w:kern w:val="0"/>
          <w:sz w:val="32"/>
          <w:szCs w:val="32"/>
        </w:rPr>
        <w:t>2023年</w:t>
      </w:r>
      <w:r>
        <w:rPr>
          <w:rFonts w:ascii="仿宋_GB2312" w:hAnsi="宋体" w:eastAsia="仿宋_GB2312"/>
          <w:kern w:val="0"/>
          <w:sz w:val="32"/>
          <w:szCs w:val="32"/>
        </w:rPr>
        <w:t>12月31日，项目实际支出总计</w:t>
      </w:r>
      <w:r>
        <w:rPr>
          <w:rFonts w:hint="eastAsia" w:ascii="仿宋_GB2312" w:hAnsi="宋体" w:eastAsia="仿宋_GB2312"/>
          <w:kern w:val="0"/>
          <w:sz w:val="32"/>
          <w:szCs w:val="32"/>
        </w:rPr>
        <w:t>41,970.87</w:t>
      </w:r>
      <w:r>
        <w:rPr>
          <w:rFonts w:ascii="仿宋_GB2312" w:hAnsi="宋体" w:eastAsia="仿宋_GB2312"/>
          <w:kern w:val="0"/>
          <w:sz w:val="32"/>
          <w:szCs w:val="32"/>
        </w:rPr>
        <w:t>万元，资金支出率</w:t>
      </w:r>
      <w:r>
        <w:rPr>
          <w:rFonts w:hint="eastAsia" w:ascii="仿宋_GB2312" w:hAnsi="宋体" w:eastAsia="仿宋_GB2312"/>
          <w:kern w:val="0"/>
          <w:sz w:val="32"/>
          <w:szCs w:val="32"/>
        </w:rPr>
        <w:t>82.57</w:t>
      </w:r>
      <w:r>
        <w:rPr>
          <w:rFonts w:ascii="仿宋_GB2312" w:hAnsi="宋体" w:eastAsia="仿宋_GB2312"/>
          <w:kern w:val="0"/>
          <w:sz w:val="32"/>
          <w:szCs w:val="32"/>
        </w:rPr>
        <w:t>%。</w:t>
      </w:r>
      <w:r>
        <w:rPr>
          <w:rFonts w:hint="eastAsia" w:ascii="仿宋_GB2312" w:hAnsi="宋体" w:eastAsia="仿宋_GB2312"/>
          <w:kern w:val="0"/>
          <w:sz w:val="32"/>
          <w:szCs w:val="32"/>
        </w:rPr>
        <w:t>三个政</w:t>
      </w:r>
      <w:r>
        <w:rPr>
          <w:rFonts w:hint="eastAsia" w:ascii="仿宋_GB2312" w:eastAsia="仿宋_GB2312"/>
          <w:sz w:val="32"/>
          <w:szCs w:val="32"/>
        </w:rPr>
        <w:t>策任务的支出率分别是：备战重大体育赛事95.68%、资助承办竞技类体育赛事53.86%、运动队保障项目55.54%，总支出率为</w:t>
      </w:r>
      <w:r>
        <w:rPr>
          <w:rFonts w:hint="eastAsia" w:ascii="仿宋_GB2312" w:hAnsi="宋体" w:eastAsia="仿宋_GB2312"/>
          <w:kern w:val="0"/>
          <w:sz w:val="32"/>
          <w:szCs w:val="32"/>
        </w:rPr>
        <w:t>82.57</w:t>
      </w:r>
      <w:r>
        <w:rPr>
          <w:rFonts w:hint="eastAsia" w:ascii="仿宋_GB2312" w:eastAsia="仿宋_GB2312"/>
          <w:sz w:val="32"/>
          <w:szCs w:val="32"/>
        </w:rPr>
        <w:t>%。</w:t>
      </w:r>
      <w:r>
        <w:rPr>
          <w:rFonts w:hint="eastAsia" w:ascii="仿宋_GB2312" w:hAnsi="宋体" w:eastAsia="仿宋_GB2312"/>
          <w:kern w:val="0"/>
          <w:sz w:val="32"/>
          <w:szCs w:val="32"/>
        </w:rPr>
        <w:t>项目资金支出率没有达到100%的主要原因是资助承办竞技类体育赛事项目中，部分</w:t>
      </w:r>
      <w:r>
        <w:rPr>
          <w:rFonts w:hint="eastAsia" w:ascii="仿宋_GB2312" w:hAnsi="宋体" w:eastAsia="仿宋_GB2312"/>
          <w:kern w:val="0"/>
          <w:sz w:val="32"/>
          <w:szCs w:val="32"/>
          <w:lang w:eastAsia="zh-CN"/>
        </w:rPr>
        <w:t>转移支付</w:t>
      </w:r>
      <w:r>
        <w:rPr>
          <w:rFonts w:hint="eastAsia" w:ascii="仿宋_GB2312" w:hAnsi="宋体" w:eastAsia="仿宋_GB2312"/>
          <w:kern w:val="0"/>
          <w:sz w:val="32"/>
          <w:szCs w:val="32"/>
        </w:rPr>
        <w:t>资金到位时间较晚，影响支付；运动队保障项目中，二沙中心推进宿舍和室外管网等配套工程</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田径场、网球场建设</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项目按施工计划</w:t>
      </w:r>
      <w:r>
        <w:rPr>
          <w:rFonts w:hint="eastAsia" w:ascii="仿宋_GB2312" w:hAnsi="宋体" w:eastAsia="仿宋_GB2312"/>
          <w:kern w:val="0"/>
          <w:sz w:val="32"/>
          <w:szCs w:val="32"/>
          <w:lang w:eastAsia="zh-CN"/>
        </w:rPr>
        <w:t>执行</w:t>
      </w:r>
      <w:r>
        <w:rPr>
          <w:rFonts w:hint="eastAsia" w:ascii="仿宋_GB2312" w:hAnsi="宋体" w:eastAsia="仿宋_GB2312"/>
          <w:kern w:val="0"/>
          <w:sz w:val="32"/>
          <w:szCs w:val="32"/>
        </w:rPr>
        <w:t>，按照合同</w:t>
      </w:r>
      <w:r>
        <w:rPr>
          <w:rFonts w:hint="eastAsia" w:ascii="仿宋_GB2312" w:hAnsi="宋体" w:eastAsia="仿宋_GB2312"/>
          <w:kern w:val="0"/>
          <w:sz w:val="32"/>
          <w:szCs w:val="32"/>
          <w:lang w:eastAsia="zh-CN"/>
        </w:rPr>
        <w:t>约定</w:t>
      </w:r>
      <w:r>
        <w:rPr>
          <w:rFonts w:hint="eastAsia" w:ascii="仿宋_GB2312" w:hAnsi="宋体" w:eastAsia="仿宋_GB2312"/>
          <w:kern w:val="0"/>
          <w:sz w:val="32"/>
          <w:szCs w:val="32"/>
        </w:rPr>
        <w:t>，进度款尚未需</w:t>
      </w:r>
      <w:r>
        <w:rPr>
          <w:rFonts w:hint="eastAsia" w:ascii="仿宋_GB2312" w:eastAsia="仿宋_GB2312"/>
          <w:sz w:val="32"/>
          <w:szCs w:val="32"/>
        </w:rPr>
        <w:t>要支付。</w:t>
      </w:r>
    </w:p>
    <w:p>
      <w:pPr>
        <w:adjustRightInd w:val="0"/>
        <w:spacing w:before="156" w:beforeLines="50" w:line="360" w:lineRule="auto"/>
        <w:ind w:firstLine="642" w:firstLineChars="200"/>
        <w:outlineLvl w:val="2"/>
        <w:rPr>
          <w:rFonts w:ascii="仿宋_GB2312" w:eastAsia="仿宋_GB2312"/>
          <w:b/>
          <w:bCs/>
          <w:sz w:val="32"/>
          <w:szCs w:val="32"/>
        </w:rPr>
      </w:pPr>
      <w:r>
        <w:rPr>
          <w:rFonts w:hint="eastAsia" w:ascii="仿宋_GB2312" w:eastAsia="仿宋_GB2312"/>
          <w:b/>
          <w:bCs/>
          <w:sz w:val="32"/>
          <w:szCs w:val="32"/>
        </w:rPr>
        <w:t>2.专项资金完成绩效目标情况</w:t>
      </w:r>
    </w:p>
    <w:p>
      <w:pPr>
        <w:spacing w:line="360" w:lineRule="auto"/>
        <w:ind w:firstLine="642" w:firstLineChars="200"/>
        <w:rPr>
          <w:rFonts w:ascii="仿宋_GB2312" w:eastAsia="仿宋_GB2312"/>
          <w:b/>
          <w:bCs/>
          <w:sz w:val="32"/>
          <w:szCs w:val="32"/>
        </w:rPr>
      </w:pPr>
      <w:r>
        <w:rPr>
          <w:rFonts w:hint="eastAsia" w:ascii="仿宋_GB2312" w:eastAsia="仿宋_GB2312"/>
          <w:b/>
          <w:bCs/>
          <w:sz w:val="32"/>
          <w:szCs w:val="32"/>
        </w:rPr>
        <w:t>（1）年度绩效</w:t>
      </w:r>
      <w:r>
        <w:rPr>
          <w:rFonts w:hint="eastAsia" w:ascii="仿宋_GB2312" w:eastAsia="仿宋_GB2312"/>
          <w:b/>
          <w:bCs/>
          <w:sz w:val="32"/>
          <w:szCs w:val="32"/>
          <w:lang w:eastAsia="zh-CN"/>
        </w:rPr>
        <w:t>总体</w:t>
      </w:r>
      <w:r>
        <w:rPr>
          <w:rFonts w:hint="eastAsia" w:ascii="仿宋_GB2312" w:eastAsia="仿宋_GB2312"/>
          <w:b/>
          <w:bCs/>
          <w:sz w:val="32"/>
          <w:szCs w:val="32"/>
        </w:rPr>
        <w:t>目标完成情况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截至2023年12月31日，竞技体育项目年度绩效总体目标完成情况，各项年度</w:t>
      </w:r>
      <w:r>
        <w:rPr>
          <w:rFonts w:hint="eastAsia" w:ascii="仿宋_GB2312" w:eastAsia="仿宋_GB2312"/>
          <w:sz w:val="32"/>
          <w:szCs w:val="32"/>
          <w:lang w:eastAsia="zh-CN"/>
        </w:rPr>
        <w:t>预期</w:t>
      </w:r>
      <w:r>
        <w:rPr>
          <w:rFonts w:hint="eastAsia" w:ascii="仿宋_GB2312" w:eastAsia="仿宋_GB2312"/>
          <w:sz w:val="32"/>
          <w:szCs w:val="32"/>
        </w:rPr>
        <w:t>总体目标已经全部完成。具体的项目绩效目标完成情况见表2-3所示。</w:t>
      </w:r>
    </w:p>
    <w:p>
      <w:pPr>
        <w:jc w:val="center"/>
        <w:rPr>
          <w:rFonts w:ascii="黑体" w:hAnsi="黑体" w:eastAsia="黑体" w:cs="宋体"/>
          <w:sz w:val="28"/>
          <w:szCs w:val="32"/>
        </w:rPr>
      </w:pPr>
      <w:r>
        <w:rPr>
          <w:rFonts w:hint="eastAsia" w:ascii="黑体" w:hAnsi="黑体" w:eastAsia="黑体" w:cs="宋体"/>
          <w:sz w:val="28"/>
          <w:szCs w:val="32"/>
        </w:rPr>
        <w:t>表2-3 项目</w:t>
      </w:r>
      <w:r>
        <w:rPr>
          <w:rFonts w:hint="eastAsia" w:ascii="黑体" w:hAnsi="黑体" w:eastAsia="黑体" w:cs="宋体"/>
          <w:color w:val="auto"/>
          <w:sz w:val="28"/>
          <w:szCs w:val="32"/>
        </w:rPr>
        <w:t>绩效目标完成情</w:t>
      </w:r>
      <w:r>
        <w:rPr>
          <w:rFonts w:hint="eastAsia" w:ascii="黑体" w:hAnsi="黑体" w:eastAsia="黑体" w:cs="宋体"/>
          <w:sz w:val="28"/>
          <w:szCs w:val="32"/>
        </w:rPr>
        <w:t>况表</w:t>
      </w:r>
    </w:p>
    <w:tbl>
      <w:tblPr>
        <w:tblStyle w:val="10"/>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713"/>
        <w:gridCol w:w="2316"/>
        <w:gridCol w:w="5027"/>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shd w:val="clear" w:color="auto" w:fill="DBEEF3"/>
            <w:vAlign w:val="center"/>
          </w:tcPr>
          <w:p>
            <w:pPr>
              <w:adjustRightInd w:val="0"/>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政策</w:t>
            </w:r>
          </w:p>
          <w:p>
            <w:pPr>
              <w:adjustRightInd w:val="0"/>
              <w:snapToGrid w:val="0"/>
              <w:jc w:val="center"/>
              <w:rPr>
                <w:rFonts w:ascii="仿宋_GB2312" w:hAnsi="仿宋_GB2312" w:eastAsia="仿宋_GB2312" w:cs="仿宋_GB2312"/>
                <w:b/>
                <w:bCs/>
                <w:spacing w:val="-11"/>
                <w:sz w:val="24"/>
              </w:rPr>
            </w:pPr>
            <w:r>
              <w:rPr>
                <w:rFonts w:hint="eastAsia" w:ascii="仿宋_GB2312" w:hAnsi="仿宋_GB2312" w:eastAsia="仿宋_GB2312" w:cs="仿宋_GB2312"/>
                <w:b/>
                <w:bCs/>
                <w:sz w:val="24"/>
              </w:rPr>
              <w:t>任务</w:t>
            </w:r>
          </w:p>
        </w:tc>
        <w:tc>
          <w:tcPr>
            <w:tcW w:w="2316" w:type="dxa"/>
            <w:shd w:val="clear" w:color="auto" w:fill="DBEEF3"/>
            <w:vAlign w:val="center"/>
          </w:tcPr>
          <w:p>
            <w:pPr>
              <w:adjustRightInd w:val="0"/>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szCs w:val="24"/>
              </w:rPr>
              <w:t>年度绩效总体目标</w:t>
            </w:r>
          </w:p>
        </w:tc>
        <w:tc>
          <w:tcPr>
            <w:tcW w:w="5027" w:type="dxa"/>
            <w:shd w:val="clear" w:color="auto" w:fill="DBEEF3"/>
            <w:vAlign w:val="center"/>
          </w:tcPr>
          <w:p>
            <w:pPr>
              <w:adjustRightInd w:val="0"/>
              <w:snapToGrid w:val="0"/>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实际完成</w:t>
            </w:r>
            <w:r>
              <w:rPr>
                <w:rFonts w:hint="eastAsia" w:ascii="仿宋_GB2312" w:hAnsi="仿宋_GB2312" w:eastAsia="仿宋_GB2312" w:cs="仿宋_GB2312"/>
                <w:b/>
                <w:bCs/>
                <w:sz w:val="24"/>
                <w:lang w:eastAsia="zh-CN"/>
              </w:rPr>
              <w:t>情况</w:t>
            </w:r>
          </w:p>
        </w:tc>
        <w:tc>
          <w:tcPr>
            <w:tcW w:w="788" w:type="dxa"/>
            <w:shd w:val="clear" w:color="auto" w:fill="DBEEF3"/>
            <w:vAlign w:val="center"/>
          </w:tcPr>
          <w:p>
            <w:pPr>
              <w:adjustRightInd w:val="0"/>
              <w:snapToGrid w:val="0"/>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restart"/>
            <w:vAlign w:val="center"/>
          </w:tcPr>
          <w:p>
            <w:pPr>
              <w:adjustRightInd w:val="0"/>
              <w:snapToGrid w:val="0"/>
              <w:jc w:val="center"/>
              <w:rPr>
                <w:rFonts w:ascii="仿宋_GB2312" w:hAnsi="仿宋_GB2312" w:eastAsia="仿宋_GB2312" w:cs="仿宋_GB2312"/>
                <w:spacing w:val="-11"/>
                <w:sz w:val="24"/>
              </w:rPr>
            </w:pPr>
            <w:r>
              <w:rPr>
                <w:rFonts w:hint="eastAsia" w:ascii="仿宋_GB2312" w:hAnsi="仿宋_GB2312" w:eastAsia="仿宋_GB2312" w:cs="仿宋_GB2312"/>
                <w:spacing w:val="-11"/>
                <w:sz w:val="24"/>
              </w:rPr>
              <w:t>备战重大体育赛事</w:t>
            </w:r>
          </w:p>
        </w:tc>
        <w:tc>
          <w:tcPr>
            <w:tcW w:w="2316"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1.提升备战管理，推进训练创新与科技赋能，积极参与国内外各类体育竞赛，切实提高训练备战水准。</w:t>
            </w:r>
          </w:p>
        </w:tc>
        <w:tc>
          <w:tcPr>
            <w:tcW w:w="5027" w:type="dxa"/>
            <w:vAlign w:val="center"/>
          </w:tcPr>
          <w:p>
            <w:pPr>
              <w:widowControl/>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2023年，我省备战训练工作稳步推进，整体水平显著提升。明确备战目标任务和措施，以省直属训练中心为主体，地市、协会、俱乐部等为补充，构建备战架构。形成全运重点项目、重点队伍备战阵容，训练组织系统稳定，保持高水平。加强备战管理制度建设，制定相关文件。深入开展系统训练，强化体能和作风，发挥科技创新引领作用，推进高水平训练平台建设，提升备战实力</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我省在2023</w:t>
            </w:r>
            <w:r>
              <w:rPr>
                <w:rFonts w:hint="eastAsia" w:ascii="仿宋_GB2312" w:hAnsi="仿宋_GB2312" w:eastAsia="仿宋_GB2312" w:cs="仿宋_GB2312"/>
                <w:sz w:val="24"/>
                <w:highlight w:val="none"/>
              </w:rPr>
              <w:t>年度</w:t>
            </w:r>
            <w:r>
              <w:rPr>
                <w:rFonts w:hint="eastAsia" w:ascii="仿宋_GB2312" w:hAnsi="仿宋_GB2312" w:eastAsia="仿宋_GB2312" w:cs="仿宋_GB2312"/>
                <w:sz w:val="24"/>
                <w:highlight w:val="none"/>
                <w:lang w:val="en-US" w:eastAsia="zh-CN"/>
              </w:rPr>
              <w:t>全国</w:t>
            </w:r>
            <w:r>
              <w:rPr>
                <w:rFonts w:hint="eastAsia" w:ascii="仿宋_GB2312" w:hAnsi="仿宋_GB2312" w:eastAsia="仿宋_GB2312" w:cs="仿宋_GB2312"/>
                <w:sz w:val="24"/>
                <w:highlight w:val="none"/>
              </w:rPr>
              <w:t>重要一次比赛</w:t>
            </w:r>
            <w:r>
              <w:rPr>
                <w:rFonts w:hint="eastAsia" w:ascii="仿宋_GB2312" w:hAnsi="仿宋_GB2312" w:eastAsia="仿宋_GB2312" w:cs="仿宋_GB2312"/>
                <w:sz w:val="24"/>
                <w:highlight w:val="none"/>
                <w:lang w:val="en-US" w:eastAsia="zh-CN"/>
              </w:rPr>
              <w:t>中获得52枚</w:t>
            </w:r>
            <w:r>
              <w:rPr>
                <w:rFonts w:hint="eastAsia" w:ascii="仿宋_GB2312" w:hAnsi="仿宋_GB2312" w:eastAsia="仿宋_GB2312" w:cs="仿宋_GB2312"/>
                <w:sz w:val="24"/>
                <w:highlight w:val="none"/>
              </w:rPr>
              <w:t>金牌</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第十四届全国冬季运动会（2024年2月在内蒙古举办），广东共有126名运动员参赛，在2023年先期举行的比赛项目中获得2枚金牌。</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z w:val="24"/>
              </w:rPr>
            </w:pPr>
          </w:p>
        </w:tc>
        <w:tc>
          <w:tcPr>
            <w:tcW w:w="2316"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2.全力以赴备战并参加第19届亚洲运动会（杭州），实现“保持</w:t>
            </w:r>
            <w:r>
              <w:rPr>
                <w:rFonts w:hint="eastAsia" w:ascii="仿宋_GB2312" w:hAnsi="仿宋_GB2312" w:eastAsia="仿宋_GB2312" w:cs="仿宋_GB2312"/>
                <w:sz w:val="24"/>
                <w:lang w:eastAsia="zh-CN"/>
              </w:rPr>
              <w:t>领先</w:t>
            </w:r>
            <w:r>
              <w:rPr>
                <w:rFonts w:hint="eastAsia" w:ascii="仿宋_GB2312" w:hAnsi="仿宋_GB2312" w:eastAsia="仿宋_GB2312" w:cs="仿宋_GB2312"/>
                <w:sz w:val="24"/>
              </w:rPr>
              <w:t>优势，为国家、省份争光”的任务目标。</w:t>
            </w:r>
          </w:p>
        </w:tc>
        <w:tc>
          <w:tcPr>
            <w:tcW w:w="5027"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19届亚洲运动会，我省共有93名运动员参加了27个大项33个分项78个小项的比赛，获得30枚金牌、17枚银牌、8枚铜牌，打破1项世界纪录、3项亚洲纪录和3项赛会纪录，参赛人数、项数和成绩均位居全国前列，顺利实现了“保持领先优势，为国、为省争光”的目标任务。</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restart"/>
            <w:vAlign w:val="center"/>
          </w:tcPr>
          <w:p>
            <w:pPr>
              <w:adjustRightInd w:val="0"/>
              <w:snapToGrid w:val="0"/>
              <w:jc w:val="center"/>
              <w:rPr>
                <w:rFonts w:ascii="仿宋_GB2312" w:hAnsi="仿宋_GB2312" w:eastAsia="仿宋_GB2312" w:cs="仿宋_GB2312"/>
                <w:spacing w:val="-11"/>
                <w:sz w:val="24"/>
              </w:rPr>
            </w:pPr>
            <w:r>
              <w:rPr>
                <w:rFonts w:hint="eastAsia" w:ascii="仿宋_GB2312" w:hAnsi="仿宋_GB2312" w:eastAsia="仿宋_GB2312" w:cs="仿宋_GB2312"/>
                <w:spacing w:val="-11"/>
                <w:sz w:val="24"/>
              </w:rPr>
              <w:t>资助承办竞技类体育赛事</w:t>
            </w:r>
          </w:p>
        </w:tc>
        <w:tc>
          <w:tcPr>
            <w:tcW w:w="2316" w:type="dxa"/>
            <w:vAlign w:val="center"/>
          </w:tcPr>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1.精心组织和承办国内外赛事，确保流程顺畅安全。</w:t>
            </w:r>
          </w:p>
        </w:tc>
        <w:tc>
          <w:tcPr>
            <w:tcW w:w="5027"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2023年度完成群众体育赛事102项、省级青少年比赛65项次、大湾区系列赛74项、全国及以上赛事20项次。</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z w:val="24"/>
              </w:rPr>
            </w:pPr>
          </w:p>
        </w:tc>
        <w:tc>
          <w:tcPr>
            <w:tcW w:w="2316" w:type="dxa"/>
            <w:vAlign w:val="center"/>
          </w:tcPr>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2.加强对各地市业务指导，推动体育事业健康发展。</w:t>
            </w:r>
          </w:p>
        </w:tc>
        <w:tc>
          <w:tcPr>
            <w:tcW w:w="5027"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指导</w:t>
            </w:r>
            <w:r>
              <w:rPr>
                <w:rFonts w:ascii="仿宋_GB2312" w:hAnsi="仿宋_GB2312" w:eastAsia="仿宋_GB2312" w:cs="仿宋_GB2312"/>
                <w:color w:val="auto"/>
                <w:sz w:val="24"/>
              </w:rPr>
              <w:t>8个</w:t>
            </w:r>
            <w:r>
              <w:rPr>
                <w:rFonts w:hint="eastAsia" w:ascii="仿宋_GB2312" w:hAnsi="仿宋_GB2312" w:eastAsia="仿宋_GB2312" w:cs="仿宋_GB2312"/>
                <w:sz w:val="24"/>
              </w:rPr>
              <w:t>地市完成2023年全国及以上赛事的各项工作，促进体育事业发展。</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z w:val="24"/>
              </w:rPr>
            </w:pPr>
          </w:p>
        </w:tc>
        <w:tc>
          <w:tcPr>
            <w:tcW w:w="2316" w:type="dxa"/>
            <w:vAlign w:val="center"/>
          </w:tcPr>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3.推进粤港澳大湾区体育事业协同发展，举办系列赛事活动，培养后备人才。</w:t>
            </w:r>
          </w:p>
        </w:tc>
        <w:tc>
          <w:tcPr>
            <w:tcW w:w="5027"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开展大湾区系列赛16项，推进粤港澳大湾区体育事业发展，举办系列赛事，培养后备力量。</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z w:val="24"/>
              </w:rPr>
            </w:pPr>
          </w:p>
        </w:tc>
        <w:tc>
          <w:tcPr>
            <w:tcW w:w="2316" w:type="dxa"/>
            <w:vAlign w:val="center"/>
          </w:tcPr>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4.完成全运会场馆项目建议书、研究报告编制及立项，制定并执行建设标准和运行设计标准，提供专业咨询服务。</w:t>
            </w:r>
          </w:p>
        </w:tc>
        <w:tc>
          <w:tcPr>
            <w:tcW w:w="5027"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扎实推进全运会省属场馆项目立项前期工作，高质量完成可研报告编制，积极联系代建、规划、水务、环保、交通等有关部门，统筹协调解决场馆建设有关问题，并认真组织开展《场馆建设要求》和《运行设计指南》编制工作。</w:t>
            </w: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按照“一馆一策，一馆一案”的工作要求，完成全省108个场馆数据库建档工作。广东体育馆及副馆等5个省属场馆维修改造工程项目完成立项批复。制定十五运会广东赛区竞技体育项目技术标准文件。</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z w:val="24"/>
              </w:rPr>
            </w:pPr>
          </w:p>
        </w:tc>
        <w:tc>
          <w:tcPr>
            <w:tcW w:w="2316" w:type="dxa"/>
            <w:vAlign w:val="center"/>
          </w:tcPr>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5.支持第十五届全运会筹委会队伍建设，协助筹措经费、开展培训；制定落实筹备计划，与媒体合作宣传全运会。</w:t>
            </w:r>
          </w:p>
        </w:tc>
        <w:tc>
          <w:tcPr>
            <w:tcW w:w="5027"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印发《第十五届全国运动会和全国第十二届残疾人运动会暨第九届特殊奥林匹克运动会广东赛区筹备工作总体方案》，成立第十五届全运会广东赛区筹备委员会和执行委员会。解决十五运会省执委会集中办公场所问题，选派41名干部参与执委会工作，初步进入实体化运作阶段。印发执委会章程、工作规则、会议制度等规章制度，初步构建制度体系。</w:t>
            </w:r>
          </w:p>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与新华社合作搭建宣传平台，与广东广播电视台合作制作电视媒体宣传片。与广东省记者协会合作，加强信息策划和传播，与平面媒体合作投放栏目，扩大全运会在国内外的影响力。</w:t>
            </w:r>
          </w:p>
        </w:tc>
        <w:tc>
          <w:tcPr>
            <w:tcW w:w="788" w:type="dxa"/>
            <w:vAlign w:val="center"/>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z w:val="24"/>
              </w:rPr>
            </w:pPr>
          </w:p>
        </w:tc>
        <w:tc>
          <w:tcPr>
            <w:tcW w:w="2316" w:type="dxa"/>
            <w:vAlign w:val="center"/>
          </w:tcPr>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6.完成筹委会办公场所租赁，优化工作流程，提升效率。</w:t>
            </w:r>
          </w:p>
        </w:tc>
        <w:tc>
          <w:tcPr>
            <w:tcW w:w="5027"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积极向国家体育总局请示汇报，畅通国家层面的沟通汇报机制。积极落实竞技体育项目布局，坚持“广东为主，港澳优先”，申请广东承办30个大项、350个小项的比赛，由广州承办开幕式、深圳承办闭幕式，开幕式在省奥林匹克体育中心举办。</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restart"/>
            <w:vAlign w:val="center"/>
          </w:tcPr>
          <w:p>
            <w:pPr>
              <w:adjustRightInd w:val="0"/>
              <w:snapToGrid w:val="0"/>
              <w:jc w:val="center"/>
              <w:rPr>
                <w:rFonts w:ascii="仿宋_GB2312" w:hAnsi="仿宋_GB2312" w:eastAsia="仿宋_GB2312" w:cs="仿宋_GB2312"/>
                <w:spacing w:val="-11"/>
                <w:sz w:val="24"/>
              </w:rPr>
            </w:pPr>
            <w:r>
              <w:rPr>
                <w:rFonts w:hint="eastAsia" w:ascii="仿宋_GB2312" w:hAnsi="仿宋_GB2312" w:eastAsia="仿宋_GB2312" w:cs="仿宋_GB2312"/>
                <w:spacing w:val="-11"/>
                <w:sz w:val="24"/>
              </w:rPr>
              <w:t>运动队保障</w:t>
            </w:r>
          </w:p>
        </w:tc>
        <w:tc>
          <w:tcPr>
            <w:tcW w:w="2316" w:type="dxa"/>
            <w:shd w:val="clear" w:color="auto" w:fill="auto"/>
            <w:vAlign w:val="center"/>
          </w:tcPr>
          <w:p>
            <w:pPr>
              <w:adjustRightInd w:val="0"/>
              <w:snapToGrid w:val="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1.培训退役运动员，提高专业水平和就业能力。</w:t>
            </w:r>
          </w:p>
        </w:tc>
        <w:tc>
          <w:tcPr>
            <w:tcW w:w="5027" w:type="dxa"/>
            <w:shd w:val="clear" w:color="auto" w:fill="auto"/>
            <w:vAlign w:val="center"/>
          </w:tcPr>
          <w:p>
            <w:pPr>
              <w:adjustRightInd w:val="0"/>
              <w:snapToGrid w:val="0"/>
              <w:rPr>
                <w:rFonts w:ascii="仿宋_GB2312" w:hAnsi="仿宋_GB2312" w:eastAsia="仿宋_GB2312" w:cs="仿宋_GB2312"/>
                <w:color w:val="auto"/>
                <w:sz w:val="24"/>
              </w:rPr>
            </w:pPr>
            <w:r>
              <w:rPr>
                <w:rFonts w:hint="eastAsia" w:ascii="仿宋_GB2312" w:hAnsi="仿宋_GB2312" w:eastAsia="仿宋_GB2312" w:cs="仿宋_GB2312"/>
                <w:color w:val="auto"/>
                <w:sz w:val="24"/>
              </w:rPr>
              <w:t>举办退役运动员转型中学教师资格培训班1次，发放170名退役运动员自主择业经济补偿金，自主择业率84.58%，提高专业水平和就业能力。</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pacing w:val="-11"/>
                <w:sz w:val="24"/>
              </w:rPr>
            </w:pPr>
          </w:p>
        </w:tc>
        <w:tc>
          <w:tcPr>
            <w:tcW w:w="2316" w:type="dxa"/>
            <w:shd w:val="clear" w:color="auto" w:fill="auto"/>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2.开展二沙中心宿舍和室外管网等配套工程，推进田径场、网球场建设，完善基础设施。</w:t>
            </w:r>
          </w:p>
        </w:tc>
        <w:tc>
          <w:tcPr>
            <w:tcW w:w="5027" w:type="dxa"/>
            <w:shd w:val="clear" w:color="auto" w:fill="auto"/>
            <w:vAlign w:val="center"/>
          </w:tcPr>
          <w:p>
            <w:pPr>
              <w:adjustRightInd w:val="0"/>
              <w:snapToGrid w:val="0"/>
              <w:ind w:left="0" w:firstLine="0"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沙宿舍楼新建工程按计划于2023年12月完成施工招标并于12月19日签订施工合同，完成场地移交和临时设施搭设；二沙中心室外管网及配套工程（含雨污分流）项目按计划于2023年12月14日完成施工招标并于12月签订施工合同；网球场建设项目于2023年11月开工；田径场项目正在招标中。</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z w:val="24"/>
              </w:rPr>
            </w:pPr>
          </w:p>
        </w:tc>
        <w:tc>
          <w:tcPr>
            <w:tcW w:w="2316" w:type="dxa"/>
            <w:shd w:val="clear" w:color="auto" w:fill="auto"/>
            <w:vAlign w:val="center"/>
          </w:tcPr>
          <w:p>
            <w:pPr>
              <w:adjustRightInd w:val="0"/>
              <w:snapToGrid w:val="0"/>
              <w:rPr>
                <w:rFonts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z w:val="24"/>
                <w:highlight w:val="none"/>
              </w:rPr>
              <w:t>3.完成黄村体育训练中心教学楼、食堂、宿舍维修，重竞技馆副馆项目结算。</w:t>
            </w:r>
          </w:p>
        </w:tc>
        <w:tc>
          <w:tcPr>
            <w:tcW w:w="5027" w:type="dxa"/>
            <w:shd w:val="clear" w:color="auto" w:fill="auto"/>
            <w:vAlign w:val="center"/>
          </w:tcPr>
          <w:p>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2023年12月完成黄村体育训练中心教学楼、食堂、宿舍维修，2023年6月16日完成重竞技馆副馆项目结算。</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z w:val="24"/>
              </w:rPr>
            </w:pPr>
          </w:p>
        </w:tc>
        <w:tc>
          <w:tcPr>
            <w:tcW w:w="2316" w:type="dxa"/>
            <w:shd w:val="clear" w:color="auto" w:fill="auto"/>
            <w:vAlign w:val="center"/>
          </w:tcPr>
          <w:p>
            <w:pPr>
              <w:adjustRightInd w:val="0"/>
              <w:snapToGrid w:val="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4.船艇中心黄塘激流回旋项目竣工。</w:t>
            </w:r>
          </w:p>
        </w:tc>
        <w:tc>
          <w:tcPr>
            <w:tcW w:w="5027" w:type="dxa"/>
            <w:shd w:val="clear" w:color="auto" w:fill="auto"/>
            <w:vAlign w:val="center"/>
          </w:tcPr>
          <w:p>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2023年1月船艇中心黄塘激流回旋项目通过竣工验收。</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13" w:type="dxa"/>
            <w:vMerge w:val="continue"/>
            <w:vAlign w:val="center"/>
          </w:tcPr>
          <w:p>
            <w:pPr>
              <w:adjustRightInd w:val="0"/>
              <w:snapToGrid w:val="0"/>
              <w:jc w:val="center"/>
              <w:rPr>
                <w:rFonts w:ascii="仿宋_GB2312" w:hAnsi="仿宋_GB2312" w:eastAsia="仿宋_GB2312" w:cs="仿宋_GB2312"/>
                <w:sz w:val="24"/>
              </w:rPr>
            </w:pPr>
          </w:p>
        </w:tc>
        <w:tc>
          <w:tcPr>
            <w:tcW w:w="2316" w:type="dxa"/>
            <w:shd w:val="clear" w:color="auto" w:fill="auto"/>
            <w:vAlign w:val="center"/>
          </w:tcPr>
          <w:p>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5.完成各基地零星小额维修项目，改善运动队训练和生活条件。</w:t>
            </w:r>
          </w:p>
        </w:tc>
        <w:tc>
          <w:tcPr>
            <w:tcW w:w="5027" w:type="dxa"/>
            <w:shd w:val="clear" w:color="auto" w:fill="auto"/>
            <w:vAlign w:val="center"/>
          </w:tcPr>
          <w:p>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完成2023年度零星维修项目的采购、实施及工程结算，消除生产生活安全隐患，为运动队备战训练创造更好的训练生活设施条件。</w:t>
            </w:r>
          </w:p>
        </w:tc>
        <w:tc>
          <w:tcPr>
            <w:tcW w:w="788"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完成</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642" w:firstLineChars="200"/>
        <w:textAlignment w:val="auto"/>
        <w:rPr>
          <w:rFonts w:ascii="仿宋_GB2312" w:eastAsia="仿宋_GB2312"/>
          <w:b/>
          <w:bCs/>
          <w:sz w:val="32"/>
          <w:szCs w:val="32"/>
        </w:rPr>
      </w:pPr>
      <w:r>
        <w:rPr>
          <w:rFonts w:hint="eastAsia" w:ascii="仿宋_GB2312" w:eastAsia="仿宋_GB2312"/>
          <w:b/>
          <w:bCs/>
          <w:sz w:val="32"/>
          <w:szCs w:val="32"/>
        </w:rPr>
        <w:t>（2）绩效产出、效益指标完成情况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截至2023年12月31日，竞技体育项目绩效指标完成情况良好，该项目各政策任务绩效指标完成情况见表2-4所示。项目各政策任务的指标分析见附件1。</w:t>
      </w:r>
    </w:p>
    <w:p>
      <w:pPr>
        <w:spacing w:line="360" w:lineRule="auto"/>
        <w:jc w:val="center"/>
      </w:pPr>
      <w:r>
        <w:rPr>
          <w:rFonts w:hint="eastAsia" w:ascii="黑体" w:hAnsi="黑体" w:eastAsia="黑体" w:cs="黑体"/>
          <w:sz w:val="28"/>
          <w:szCs w:val="28"/>
        </w:rPr>
        <w:t>表2-4 项目绩效指标完成情况表</w:t>
      </w:r>
    </w:p>
    <w:tbl>
      <w:tblPr>
        <w:tblStyle w:val="9"/>
        <w:tblW w:w="8844" w:type="dxa"/>
        <w:jc w:val="center"/>
        <w:tblLayout w:type="fixed"/>
        <w:tblCellMar>
          <w:top w:w="0" w:type="dxa"/>
          <w:left w:w="108" w:type="dxa"/>
          <w:bottom w:w="0" w:type="dxa"/>
          <w:right w:w="108" w:type="dxa"/>
        </w:tblCellMar>
      </w:tblPr>
      <w:tblGrid>
        <w:gridCol w:w="854"/>
        <w:gridCol w:w="758"/>
        <w:gridCol w:w="780"/>
        <w:gridCol w:w="2411"/>
        <w:gridCol w:w="1585"/>
        <w:gridCol w:w="1541"/>
        <w:gridCol w:w="915"/>
      </w:tblGrid>
      <w:tr>
        <w:trPr>
          <w:trHeight w:val="567"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DBEEF3"/>
            <w:vAlign w:val="center"/>
          </w:tcPr>
          <w:p>
            <w:pPr>
              <w:widowControl/>
              <w:adjustRightInd w:val="0"/>
              <w:snapToGrid w:val="0"/>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政策任务</w:t>
            </w:r>
          </w:p>
        </w:tc>
        <w:tc>
          <w:tcPr>
            <w:tcW w:w="758" w:type="dxa"/>
            <w:tcBorders>
              <w:top w:val="single" w:color="000000" w:sz="4" w:space="0"/>
              <w:left w:val="single" w:color="000000" w:sz="4" w:space="0"/>
              <w:bottom w:val="single" w:color="000000" w:sz="4" w:space="0"/>
              <w:right w:val="single" w:color="000000" w:sz="4" w:space="0"/>
            </w:tcBorders>
            <w:shd w:val="clear" w:color="auto" w:fill="DBEEF3"/>
            <w:vAlign w:val="center"/>
          </w:tcPr>
          <w:p>
            <w:pPr>
              <w:widowControl/>
              <w:adjustRightInd w:val="0"/>
              <w:snapToGrid w:val="0"/>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DBEEF3"/>
            <w:vAlign w:val="center"/>
          </w:tcPr>
          <w:p>
            <w:pPr>
              <w:widowControl/>
              <w:adjustRightInd w:val="0"/>
              <w:snapToGrid w:val="0"/>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二级指标</w:t>
            </w:r>
          </w:p>
        </w:tc>
        <w:tc>
          <w:tcPr>
            <w:tcW w:w="2411" w:type="dxa"/>
            <w:tcBorders>
              <w:top w:val="single" w:color="000000" w:sz="4" w:space="0"/>
              <w:left w:val="single" w:color="000000" w:sz="4" w:space="0"/>
              <w:bottom w:val="single" w:color="000000" w:sz="4" w:space="0"/>
              <w:right w:val="single" w:color="000000" w:sz="4" w:space="0"/>
            </w:tcBorders>
            <w:shd w:val="clear" w:color="auto" w:fill="DBEEF3"/>
            <w:vAlign w:val="center"/>
          </w:tcPr>
          <w:p>
            <w:pPr>
              <w:widowControl/>
              <w:adjustRightInd w:val="0"/>
              <w:snapToGrid w:val="0"/>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三级指标</w:t>
            </w:r>
          </w:p>
        </w:tc>
        <w:tc>
          <w:tcPr>
            <w:tcW w:w="1585" w:type="dxa"/>
            <w:tcBorders>
              <w:top w:val="single" w:color="000000" w:sz="4" w:space="0"/>
              <w:left w:val="single" w:color="000000" w:sz="4" w:space="0"/>
              <w:bottom w:val="single" w:color="000000" w:sz="4" w:space="0"/>
              <w:right w:val="single" w:color="000000" w:sz="4" w:space="0"/>
            </w:tcBorders>
            <w:shd w:val="clear" w:color="auto" w:fill="DBEEF3"/>
            <w:vAlign w:val="center"/>
          </w:tcPr>
          <w:p>
            <w:pPr>
              <w:widowControl/>
              <w:adjustRightInd w:val="0"/>
              <w:snapToGrid w:val="0"/>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预期值</w:t>
            </w:r>
          </w:p>
        </w:tc>
        <w:tc>
          <w:tcPr>
            <w:tcW w:w="1541" w:type="dxa"/>
            <w:tcBorders>
              <w:top w:val="single" w:color="000000" w:sz="4" w:space="0"/>
              <w:left w:val="single" w:color="000000" w:sz="4" w:space="0"/>
              <w:bottom w:val="single" w:color="000000" w:sz="4" w:space="0"/>
              <w:right w:val="single" w:color="000000" w:sz="4" w:space="0"/>
            </w:tcBorders>
            <w:shd w:val="clear" w:color="auto" w:fill="DBEEF3"/>
            <w:vAlign w:val="center"/>
          </w:tcPr>
          <w:p>
            <w:pPr>
              <w:widowControl/>
              <w:adjustRightInd w:val="0"/>
              <w:snapToGrid w:val="0"/>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完成值</w:t>
            </w:r>
          </w:p>
        </w:tc>
        <w:tc>
          <w:tcPr>
            <w:tcW w:w="915" w:type="dxa"/>
            <w:tcBorders>
              <w:top w:val="single" w:color="000000" w:sz="4" w:space="0"/>
              <w:left w:val="single" w:color="000000" w:sz="4" w:space="0"/>
              <w:bottom w:val="single" w:color="000000" w:sz="4" w:space="0"/>
              <w:right w:val="single" w:color="000000" w:sz="4" w:space="0"/>
            </w:tcBorders>
            <w:shd w:val="clear" w:color="auto" w:fill="DBEEF3"/>
            <w:vAlign w:val="center"/>
          </w:tcPr>
          <w:p>
            <w:pPr>
              <w:widowControl/>
              <w:adjustRightInd w:val="0"/>
              <w:snapToGrid w:val="0"/>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rPr>
              <w:t>完成情况</w:t>
            </w:r>
          </w:p>
        </w:tc>
      </w:tr>
      <w:tr>
        <w:trPr>
          <w:trHeight w:val="567" w:hRule="atLeast"/>
          <w:jc w:val="center"/>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备战重大体育赛事</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产出指标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数量指标</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开展优势项目数量（个）</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引进高水平教练员人数（人）</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引进高水平运动员人数（人）</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≥64</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引进专业运动领域复合团队专家数（人）</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依托社会力量申办和建设高水平运动队的项目数量</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参加国内比赛人次（人次）</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4957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质量指标</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教练员年度考核合格率（%）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运动员年度考核合格率（%）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w:t>
            </w:r>
            <w:r>
              <w:rPr>
                <w:rFonts w:hint="eastAsia" w:ascii="仿宋_GB2312" w:hAnsi="仿宋_GB2312" w:eastAsia="仿宋_GB2312" w:cs="仿宋_GB2312"/>
                <w:color w:val="000000"/>
                <w:kern w:val="0"/>
                <w:sz w:val="24"/>
                <w:lang w:val="en-US" w:eastAsia="zh-CN"/>
              </w:rPr>
              <w:t>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反兴奋剂培训运动员覆盖率（%）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设立二线队伍的项目比例（%）</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84.21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社会效益</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年度重要一次比赛的金牌数（枚）</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亚运会参赛成绩</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全国前三名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全国前三名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向国家队输送运动员人数（人）</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对体育强省建设工作的促进作用</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有效促进</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有效促进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服务对象满意度</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受训人员满意度（%）</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92.95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资助承办竞技类体育赛事</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产出指标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数量指标</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宣传报道次数（次）</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在我省举办或承办的全国及以上赛事（项次）</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项目数量（个）</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参赛运动员人数（人）</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≥10600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10624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现场观众人数（人）</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质量指标</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赛事人为事故发生数（起）</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项目建议书及可行性研究报告编制（项）</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288"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重要比赛赛后信息收集进度</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赛后三十天时间内完成信息收集</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赛后三十天时间内完成信息收集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社会效益</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提高公众对体育赛事的关注度</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进一步提升</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进一步提升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推进粤港澳大湾区和深圳先行示范区体育国际化发展</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通过举办第十五届全运会，进一步促进粤港澳大湾区体育建设，促进社会交流和融合。</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通过举办第十五届全运会，进一步促进粤港澳大湾区体育建设，促进社会交流和融合。</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对体育强省建设工作的促进作用</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通过举办第十五届全运会，进一步加快广东体育强省建设。</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通过举办第十五届全运会，进一步加快广东体育强省建设。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媒体报道次数（次）</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可持续影响</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建设项目有效性</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长期有效</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长期有效</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服务对象满意度</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运动员满意度（%）</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≥85</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服务对象满意度（%）</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85</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运动队保障</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产出指标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数量指标</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完成工程结算项目数量（个）</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完成工程结算定案项目数量（个）</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退役运动员培训次数（次）</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完成各基地运动队改善设施条件的修改维修项目数量（个）</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开工建设项目数量（个）</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举办培训班次数（次）</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建设面积（平方米）</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田径场：二沙中心16438平方米（西1场7886平方米，东2场8552平方米）。室外网球场：二沙中心6880平方米</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highlight w:val="none"/>
                <w:lang w:val="en-US" w:eastAsia="zh-CN"/>
              </w:rPr>
              <w:t>按计划推进</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完成项目实体移交数量（个）</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质量指标</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工程质量验收</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合格</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auto"/>
                <w:kern w:val="0"/>
                <w:sz w:val="24"/>
              </w:rPr>
              <w:t>合格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时效指标</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投入使用时间</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项目实施进度按《省体育局年度基建工作计划》进行</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项目实施进度按《省体育局年度基建工作计划》进行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成本指标</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项目结算金额</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符合《广东省财政厅关于基本建设财务管理的实施办法》规定</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11161.79万</w:t>
            </w:r>
            <w:r>
              <w:rPr>
                <w:rFonts w:hint="eastAsia" w:ascii="仿宋_GB2312" w:hAnsi="仿宋_GB2312" w:eastAsia="仿宋_GB2312" w:cs="仿宋_GB2312"/>
                <w:color w:val="000000"/>
                <w:kern w:val="0"/>
                <w:sz w:val="24"/>
                <w:lang w:eastAsia="zh-CN"/>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社会效益</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运动员自主择业率（%）</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84.58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运动队生活、训练条件</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有效改善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有效改善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服务对象满意度</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退役运动员满意度（%）</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r>
        <w:trPr>
          <w:trHeight w:val="567"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仿宋_GB2312" w:hAnsi="仿宋_GB2312" w:eastAsia="仿宋_GB2312" w:cs="仿宋_GB2312"/>
                <w:color w:val="000000"/>
                <w:sz w:val="24"/>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受训运动员满意度（%）</w:t>
            </w: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92.38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w:t>
            </w:r>
          </w:p>
        </w:tc>
      </w:tr>
    </w:tbl>
    <w:p>
      <w:pPr>
        <w:spacing w:before="156" w:beforeLines="50" w:line="360" w:lineRule="auto"/>
        <w:ind w:firstLine="642" w:firstLineChars="200"/>
        <w:outlineLvl w:val="2"/>
        <w:rPr>
          <w:rFonts w:ascii="仿宋_GB2312" w:eastAsia="仿宋_GB2312"/>
          <w:b/>
          <w:bCs/>
          <w:sz w:val="32"/>
          <w:szCs w:val="32"/>
        </w:rPr>
      </w:pPr>
      <w:r>
        <w:rPr>
          <w:rFonts w:hint="eastAsia" w:ascii="仿宋_GB2312" w:eastAsia="仿宋_GB2312"/>
          <w:b/>
          <w:bCs/>
          <w:sz w:val="32"/>
          <w:szCs w:val="32"/>
        </w:rPr>
        <w:t>3.专项资金分用途使用绩效</w:t>
      </w:r>
    </w:p>
    <w:p>
      <w:pPr>
        <w:spacing w:line="360" w:lineRule="auto"/>
        <w:ind w:firstLine="642" w:firstLineChars="200"/>
        <w:rPr>
          <w:rFonts w:ascii="仿宋_GB2312" w:hAnsi="仿宋_GB2312" w:eastAsia="仿宋_GB2312" w:cs="仿宋_GB2312"/>
          <w:b/>
          <w:bCs/>
          <w:sz w:val="32"/>
          <w:szCs w:val="32"/>
        </w:rPr>
      </w:pPr>
      <w:r>
        <w:rPr>
          <w:rFonts w:hint="eastAsia" w:ascii="仿宋_GB2312" w:eastAsia="仿宋_GB2312"/>
          <w:b/>
          <w:bCs/>
          <w:sz w:val="32"/>
          <w:szCs w:val="32"/>
        </w:rPr>
        <w:t>（1）全力推进</w:t>
      </w:r>
      <w:r>
        <w:rPr>
          <w:rFonts w:hint="eastAsia" w:ascii="仿宋_GB2312" w:hAnsi="仿宋_GB2312" w:eastAsia="仿宋_GB2312" w:cs="仿宋_GB2312"/>
          <w:b/>
          <w:bCs/>
          <w:sz w:val="32"/>
          <w:szCs w:val="32"/>
        </w:rPr>
        <w:t>十五运周期备战工作，不断优化备战管理和保障体系；强化备战参赛工作，促进竞技实力有效提升，全面增强我省竞技体育综合实力和核心竞争力</w:t>
      </w:r>
    </w:p>
    <w:p>
      <w:pPr>
        <w:widowControl/>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一是我省备战训练工作稳步推进，整体水平显著提升。</w:t>
      </w:r>
      <w:r>
        <w:rPr>
          <w:rFonts w:hint="eastAsia" w:ascii="仿宋_GB2312" w:hAnsi="仿宋_GB2312" w:eastAsia="仿宋_GB2312" w:cs="仿宋_GB2312"/>
          <w:sz w:val="32"/>
          <w:szCs w:val="32"/>
        </w:rPr>
        <w:t>进一步明确备战目标和措施</w:t>
      </w:r>
      <w:r>
        <w:rPr>
          <w:rFonts w:hint="eastAsia" w:ascii="仿宋_GB2312" w:hAnsi="仿宋_GB2312" w:eastAsia="仿宋_GB2312" w:cs="仿宋_GB2312"/>
          <w:sz w:val="32"/>
          <w:szCs w:val="32"/>
          <w:highlight w:val="none"/>
        </w:rPr>
        <w:t>，形成以省直属训练中心为主体，各地市、协会、俱乐部等为补充的备战架构</w:t>
      </w:r>
      <w:r>
        <w:rPr>
          <w:rFonts w:hint="eastAsia" w:ascii="仿宋_GB2312" w:hAnsi="仿宋_GB2312" w:eastAsia="仿宋_GB2312" w:cs="仿宋_GB2312"/>
          <w:sz w:val="32"/>
          <w:szCs w:val="32"/>
        </w:rPr>
        <w:t>。开展优势项目数量19个，重点项目和队伍备战阵容基本稳定，保持高水平训练。依托社会力量申办和建设高水平运动队的项目数量10个。加强备战管理制度建设，推出《广东省体育局直属训练中心备战工作管理办法》等文件。深入开展系统训练，强化体能和作风，推进高水平训练平台建设，提升备战实力。</w:t>
      </w:r>
    </w:p>
    <w:p>
      <w:pPr>
        <w:widowControl/>
        <w:ind w:firstLine="642" w:firstLineChars="200"/>
        <w:jc w:val="left"/>
        <w:rPr>
          <w:rFonts w:ascii="仿宋_GB2312" w:hAnsi="宋体" w:eastAsia="仿宋_GB2312" w:cs="仿宋_GB2312"/>
          <w:kern w:val="0"/>
          <w:sz w:val="31"/>
          <w:szCs w:val="31"/>
        </w:rPr>
      </w:pPr>
      <w:r>
        <w:rPr>
          <w:rFonts w:hint="eastAsia" w:ascii="仿宋_GB2312" w:hAnsi="仿宋_GB2312" w:eastAsia="仿宋_GB2312" w:cs="仿宋_GB2312"/>
          <w:b/>
          <w:bCs/>
          <w:sz w:val="32"/>
          <w:szCs w:val="32"/>
        </w:rPr>
        <w:t>二是积极开展人才引进。</w:t>
      </w:r>
      <w:r>
        <w:rPr>
          <w:rFonts w:hint="eastAsia" w:ascii="仿宋_GB2312" w:hAnsi="宋体" w:eastAsia="仿宋_GB2312" w:cs="仿宋_GB2312"/>
          <w:kern w:val="0"/>
          <w:sz w:val="31"/>
          <w:szCs w:val="31"/>
        </w:rPr>
        <w:t>引进70名高水平运动员、80名高水平教练员和73名专业运动领域复合团队专家。积极向国家队输送运动员、教练员和保障人员，截至2023年12月18日，我省有128名运动员、33名教练员和16名科医保障人员在国家队集训。</w:t>
      </w:r>
    </w:p>
    <w:p>
      <w:pPr>
        <w:ind w:firstLine="642" w:firstLineChars="200"/>
        <w:rPr>
          <w:rFonts w:ascii="仿宋_GB2312" w:hAnsi="宋体" w:eastAsia="仿宋_GB2312" w:cs="仿宋_GB2312"/>
          <w:kern w:val="0"/>
          <w:sz w:val="31"/>
          <w:szCs w:val="31"/>
        </w:rPr>
      </w:pPr>
      <w:r>
        <w:rPr>
          <w:rFonts w:hint="eastAsia" w:ascii="仿宋_GB2312" w:hAnsi="仿宋_GB2312" w:eastAsia="仿宋_GB2312" w:cs="仿宋_GB2312"/>
          <w:b/>
          <w:bCs/>
          <w:sz w:val="32"/>
          <w:szCs w:val="32"/>
        </w:rPr>
        <w:t>三是精心组织做好年度参赛工作。</w:t>
      </w:r>
      <w:r>
        <w:rPr>
          <w:rFonts w:hint="eastAsia" w:ascii="仿宋_GB2312" w:hAnsi="宋体" w:eastAsia="仿宋_GB2312" w:cs="仿宋_GB2312"/>
          <w:kern w:val="0"/>
          <w:sz w:val="31"/>
          <w:szCs w:val="31"/>
        </w:rPr>
        <w:t>我省运动员分别获得世锦赛、世界杯等国际大赛30项次世界冠军和全国重要一次比赛52枚全运小项金牌，参加国内外大赛成绩均位居全国前列。</w:t>
      </w:r>
      <w:r>
        <w:rPr>
          <w:rFonts w:hint="eastAsia" w:ascii="仿宋_GB2312" w:hAnsi="宋体" w:eastAsia="仿宋_GB2312" w:cs="仿宋_GB2312"/>
          <w:kern w:val="0"/>
          <w:sz w:val="31"/>
          <w:szCs w:val="31"/>
          <w:highlight w:val="none"/>
          <w:lang w:val="en-US" w:eastAsia="zh-CN"/>
        </w:rPr>
        <w:t>杭州亚运会，</w:t>
      </w:r>
      <w:r>
        <w:rPr>
          <w:rFonts w:hint="eastAsia" w:ascii="仿宋_GB2312" w:hAnsi="宋体" w:eastAsia="仿宋_GB2312" w:cs="仿宋_GB2312"/>
          <w:kern w:val="0"/>
          <w:sz w:val="31"/>
          <w:szCs w:val="31"/>
          <w:highlight w:val="none"/>
        </w:rPr>
        <w:t>我省共有93名运动员参加了27个大项33个分项78个小项的比</w:t>
      </w:r>
      <w:r>
        <w:rPr>
          <w:rFonts w:hint="eastAsia" w:ascii="仿宋_GB2312" w:hAnsi="宋体" w:eastAsia="仿宋_GB2312" w:cs="仿宋_GB2312"/>
          <w:kern w:val="0"/>
          <w:sz w:val="31"/>
          <w:szCs w:val="31"/>
        </w:rPr>
        <w:t>赛，获得30枚金牌、17枚银牌、8枚铜牌，打破1项世界纪录、3项亚洲纪录和3项赛会纪录，参赛人数、项数和成绩均位居全国前列，顺利实现了“保持领先优势，为国、为省争光”的目标任务。</w:t>
      </w:r>
    </w:p>
    <w:p>
      <w:pPr>
        <w:ind w:firstLine="622" w:firstLineChars="200"/>
        <w:rPr>
          <w:rFonts w:ascii="仿宋_GB2312" w:hAnsi="宋体" w:eastAsia="仿宋_GB2312" w:cs="仿宋_GB2312"/>
          <w:kern w:val="0"/>
          <w:sz w:val="31"/>
          <w:szCs w:val="31"/>
        </w:rPr>
      </w:pPr>
      <w:r>
        <w:rPr>
          <w:rFonts w:hint="eastAsia" w:ascii="仿宋_GB2312" w:hAnsi="宋体" w:eastAsia="仿宋_GB2312" w:cs="仿宋_GB2312"/>
          <w:b/>
          <w:bCs/>
          <w:kern w:val="0"/>
          <w:sz w:val="31"/>
          <w:szCs w:val="31"/>
        </w:rPr>
        <w:t>四是十四冬备战参赛工作取得显著成果。</w:t>
      </w:r>
      <w:r>
        <w:rPr>
          <w:rFonts w:hint="eastAsia" w:ascii="仿宋_GB2312" w:hAnsi="宋体" w:eastAsia="仿宋_GB2312" w:cs="仿宋_GB2312"/>
          <w:kern w:val="0"/>
          <w:sz w:val="31"/>
          <w:szCs w:val="31"/>
        </w:rPr>
        <w:t>通过跨界选材、协会培养、国家队合作等方式，为冬季项目输送优秀后备人才。粤龙两省签订冰雪体育合作协议，加强交流合作，备战冬奥会、冬全运会等赛事。与黑龙江、吉林、陕西等省份签订运动员联合培养协议，共同培养优秀人才。与深圳昆仑鸿星冰球俱乐部合作，增强备战实力。我省参加十四冬运动员126人。其中，广东女子冰球队在十四冬女子冰球公开组比赛中以全胜战绩夺冠，取得本届冬全运会首枚金牌。在十四冬雪橇项目团体接力赛和男子双人比赛中，广东健儿分别获得1金1银。</w:t>
      </w:r>
    </w:p>
    <w:p>
      <w:pPr>
        <w:spacing w:line="360" w:lineRule="auto"/>
        <w:ind w:firstLine="620" w:firstLineChars="200"/>
        <w:rPr>
          <w:rFonts w:hint="eastAsia" w:ascii="仿宋_GB2312" w:hAnsi="宋体" w:eastAsia="仿宋_GB2312" w:cs="仿宋_GB2312"/>
          <w:kern w:val="0"/>
          <w:sz w:val="31"/>
          <w:szCs w:val="31"/>
        </w:rPr>
      </w:pPr>
      <w:r>
        <w:rPr>
          <w:rFonts w:hint="eastAsia" w:ascii="仿宋_GB2312" w:hAnsi="宋体" w:eastAsia="仿宋_GB2312" w:cs="仿宋_GB2312"/>
          <w:kern w:val="0"/>
          <w:sz w:val="31"/>
          <w:szCs w:val="31"/>
        </w:rPr>
        <w:t>通过优化项目布局、完善备战管理体系、加强备战队伍建设、提高科学训练水平、优化备战保障体系等途径，有效促进了竞技实力的提升，在国内外重大赛事中取得优异成绩，圆满完成目标任务，为广东体育强省建设作出积极贡献。</w:t>
      </w:r>
    </w:p>
    <w:p>
      <w:pPr>
        <w:spacing w:line="360" w:lineRule="auto"/>
        <w:ind w:firstLine="642" w:firstLineChars="200"/>
        <w:rPr>
          <w:rFonts w:ascii="仿宋_GB2312" w:eastAsia="仿宋_GB2312"/>
          <w:b/>
          <w:bCs/>
          <w:sz w:val="32"/>
          <w:szCs w:val="32"/>
        </w:rPr>
      </w:pPr>
      <w:bookmarkStart w:id="0" w:name="_GoBack"/>
      <w:bookmarkEnd w:id="0"/>
      <w:r>
        <w:rPr>
          <w:rFonts w:hint="eastAsia" w:ascii="仿宋_GB2312" w:eastAsia="仿宋_GB2312"/>
          <w:b/>
          <w:bCs/>
          <w:sz w:val="32"/>
          <w:szCs w:val="32"/>
        </w:rPr>
        <w:t>（2）资助承办竞技类体育赛事，推动体育产业高质量发展</w:t>
      </w:r>
    </w:p>
    <w:p>
      <w:pPr>
        <w:ind w:firstLine="622" w:firstLineChars="200"/>
        <w:rPr>
          <w:rFonts w:ascii="仿宋_GB2312" w:hAnsi="宋体" w:eastAsia="仿宋_GB2312" w:cs="仿宋_GB2312"/>
          <w:kern w:val="0"/>
          <w:sz w:val="31"/>
          <w:szCs w:val="31"/>
        </w:rPr>
      </w:pPr>
      <w:r>
        <w:rPr>
          <w:rFonts w:hint="eastAsia" w:ascii="Calibri" w:hAnsi="Calibri" w:eastAsia="仿宋_GB2312" w:cs="Calibri"/>
          <w:b/>
          <w:bCs/>
          <w:kern w:val="0"/>
          <w:sz w:val="31"/>
          <w:szCs w:val="31"/>
        </w:rPr>
        <w:t>一是</w:t>
      </w:r>
      <w:r>
        <w:rPr>
          <w:rFonts w:ascii="仿宋_GB2312" w:hAnsi="宋体" w:eastAsia="仿宋_GB2312" w:cs="仿宋_GB2312"/>
          <w:b/>
          <w:bCs/>
          <w:kern w:val="0"/>
          <w:sz w:val="31"/>
          <w:szCs w:val="31"/>
        </w:rPr>
        <w:t>体育赛事活动顺利开展</w:t>
      </w:r>
      <w:r>
        <w:rPr>
          <w:rFonts w:hint="eastAsia" w:ascii="仿宋_GB2312" w:hAnsi="宋体" w:eastAsia="仿宋_GB2312" w:cs="仿宋_GB2312"/>
          <w:b/>
          <w:bCs/>
          <w:kern w:val="0"/>
          <w:sz w:val="31"/>
          <w:szCs w:val="31"/>
        </w:rPr>
        <w:t>，大力促进赛事消费</w:t>
      </w:r>
      <w:r>
        <w:rPr>
          <w:rFonts w:ascii="仿宋_GB2312" w:hAnsi="宋体" w:eastAsia="仿宋_GB2312" w:cs="仿宋_GB2312"/>
          <w:b/>
          <w:bCs/>
          <w:kern w:val="0"/>
          <w:sz w:val="31"/>
          <w:szCs w:val="31"/>
        </w:rPr>
        <w:t>。</w:t>
      </w:r>
      <w:r>
        <w:rPr>
          <w:rFonts w:ascii="仿宋_GB2312" w:hAnsi="宋体" w:eastAsia="仿宋_GB2312" w:cs="仿宋_GB2312"/>
          <w:kern w:val="0"/>
          <w:sz w:val="31"/>
          <w:szCs w:val="31"/>
        </w:rPr>
        <w:t>成功举办</w:t>
      </w:r>
      <w:r>
        <w:rPr>
          <w:rFonts w:hint="eastAsia" w:ascii="仿宋_GB2312" w:hAnsi="宋体" w:eastAsia="仿宋_GB2312" w:cs="仿宋_GB2312"/>
          <w:kern w:val="0"/>
          <w:sz w:val="31"/>
          <w:szCs w:val="31"/>
        </w:rPr>
        <w:t>2023年度粤港澳系列赛事，在我省举办或承办的全国及以上赛事28项次，赛事活动丰富多彩，满足不同人群健身多元化需求，有效拉动消费，推动体育产业高质量发展。</w:t>
      </w:r>
    </w:p>
    <w:p>
      <w:pPr>
        <w:ind w:firstLine="642" w:firstLineChars="200"/>
        <w:rPr>
          <w:rFonts w:ascii="仿宋_GB2312" w:hAnsi="宋体" w:eastAsia="仿宋_GB2312" w:cs="仿宋_GB2312"/>
          <w:kern w:val="0"/>
          <w:sz w:val="31"/>
          <w:szCs w:val="31"/>
        </w:rPr>
      </w:pPr>
      <w:r>
        <w:rPr>
          <w:rFonts w:hint="eastAsia" w:ascii="Calibri" w:hAnsi="Calibri" w:eastAsia="仿宋_GB2312" w:cs="Calibri"/>
          <w:b/>
          <w:bCs/>
          <w:kern w:val="0"/>
          <w:sz w:val="32"/>
          <w:szCs w:val="32"/>
        </w:rPr>
        <w:t>二是体育产业规模壮大，融入经济社会发展大局。</w:t>
      </w:r>
      <w:r>
        <w:rPr>
          <w:rFonts w:hint="eastAsia" w:ascii="仿宋_GB2312" w:hAnsi="宋体" w:eastAsia="仿宋_GB2312" w:cs="仿宋_GB2312"/>
          <w:kern w:val="0"/>
          <w:sz w:val="31"/>
          <w:szCs w:val="31"/>
        </w:rPr>
        <w:t>2023年，我省体育产业规模持续领先，我省体育产业总规模、增加值已连续多年位居全国前列。布局与结构不断优化，全省总体上呈现“一圈双核五带多点”体育产业布局。预计2023年广东省体育产业总规模超7300亿元，增速约13%，增加值超2300亿元，增速约9%，体育服务业占比实现跃升。</w:t>
      </w:r>
    </w:p>
    <w:p>
      <w:pPr>
        <w:ind w:firstLine="642" w:firstLineChars="200"/>
        <w:rPr>
          <w:rFonts w:ascii="Calibri" w:hAnsi="Calibri" w:eastAsia="仿宋_GB2312" w:cs="Calibri"/>
          <w:b/>
          <w:bCs/>
          <w:kern w:val="0"/>
          <w:sz w:val="32"/>
          <w:szCs w:val="32"/>
        </w:rPr>
      </w:pPr>
      <w:r>
        <w:rPr>
          <w:rFonts w:hint="eastAsia" w:ascii="Calibri" w:hAnsi="Calibri" w:eastAsia="仿宋_GB2312" w:cs="Calibri"/>
          <w:b/>
          <w:bCs/>
          <w:kern w:val="0"/>
          <w:sz w:val="32"/>
          <w:szCs w:val="32"/>
        </w:rPr>
        <w:t>三是筹备十五运会，打造高水平体育盛会。</w:t>
      </w:r>
      <w:r>
        <w:rPr>
          <w:rFonts w:hint="eastAsia" w:ascii="仿宋_GB2312" w:hAnsi="仿宋_GB2312" w:eastAsia="仿宋_GB2312" w:cs="仿宋_GB2312"/>
          <w:kern w:val="0"/>
          <w:sz w:val="32"/>
          <w:szCs w:val="32"/>
        </w:rPr>
        <w:t>首先，实体化运作筹备机构。成立广东赛区筹备委员会和执行委员会，解决办公场所问题，选派41名干部参与工作，初步进入实体化运作阶段，构建制度体系。其次，有序推进项目布局。向国家体育总局请示汇报，畅通沟通机制。落实竞技体育项目布局，申请广东承办30个大项、350个小项比赛，广州承办开幕式、深圳承办闭幕式。第三，加快场馆维修建设。完成全省108个场馆数据库建档工作，5个省属场馆维修改造工程项目完成立项批复，制定技术标准文件。</w:t>
      </w:r>
    </w:p>
    <w:p>
      <w:pPr>
        <w:spacing w:line="360" w:lineRule="auto"/>
        <w:ind w:firstLine="642" w:firstLineChars="200"/>
        <w:rPr>
          <w:rFonts w:ascii="仿宋_GB2312" w:eastAsia="仿宋_GB2312"/>
          <w:b/>
          <w:bCs/>
          <w:sz w:val="32"/>
          <w:szCs w:val="32"/>
        </w:rPr>
      </w:pPr>
      <w:r>
        <w:rPr>
          <w:rFonts w:hint="eastAsia" w:ascii="仿宋_GB2312" w:eastAsia="仿宋_GB2312"/>
          <w:b/>
          <w:bCs/>
          <w:sz w:val="32"/>
          <w:szCs w:val="32"/>
        </w:rPr>
        <w:t>（3）完善退役运动员保障工作，积极改善运动队训练、生活条件，为运动队提供有力保障</w:t>
      </w:r>
    </w:p>
    <w:p>
      <w:pPr>
        <w:spacing w:line="360" w:lineRule="auto"/>
        <w:ind w:firstLine="642" w:firstLineChars="200"/>
        <w:rPr>
          <w:rFonts w:ascii="仿宋_GB2312" w:eastAsia="仿宋_GB2312"/>
          <w:sz w:val="32"/>
          <w:szCs w:val="32"/>
        </w:rPr>
      </w:pPr>
      <w:r>
        <w:rPr>
          <w:rFonts w:hint="eastAsia" w:ascii="仿宋_GB2312" w:eastAsia="仿宋_GB2312"/>
          <w:b/>
          <w:bCs/>
          <w:sz w:val="32"/>
          <w:szCs w:val="32"/>
        </w:rPr>
        <w:t>一是完善退役运动员保障工作。</w:t>
      </w:r>
      <w:r>
        <w:rPr>
          <w:rFonts w:hint="eastAsia" w:ascii="仿宋_GB2312" w:eastAsia="仿宋_GB2312"/>
          <w:sz w:val="32"/>
          <w:szCs w:val="32"/>
        </w:rPr>
        <w:t>加强工作培训，举办退役运动员转型中学教师资格培训班1次，</w:t>
      </w:r>
      <w:r>
        <w:rPr>
          <w:rFonts w:hint="eastAsia" w:ascii="仿宋_GB2312" w:hAnsi="仿宋_GB2312" w:eastAsia="仿宋_GB2312" w:cs="仿宋_GB2312"/>
          <w:kern w:val="0"/>
          <w:sz w:val="32"/>
          <w:szCs w:val="32"/>
        </w:rPr>
        <w:t>办理201名退役运动员退役手续，审核发放170名退役运动员自主择业经济补偿金，自主择业率84.58%，</w:t>
      </w:r>
      <w:r>
        <w:rPr>
          <w:rFonts w:hint="eastAsia" w:ascii="仿宋_GB2312" w:eastAsia="仿宋_GB2312"/>
          <w:sz w:val="32"/>
          <w:szCs w:val="32"/>
        </w:rPr>
        <w:t>惠及退役运动员100%，推动我省优秀运动员退役后进入了一个新的发展阶段。</w:t>
      </w:r>
    </w:p>
    <w:p>
      <w:pPr>
        <w:spacing w:line="360" w:lineRule="auto"/>
        <w:ind w:firstLine="642" w:firstLineChars="200"/>
      </w:pPr>
      <w:r>
        <w:rPr>
          <w:rFonts w:hint="eastAsia" w:ascii="仿宋_GB2312" w:eastAsia="仿宋_GB2312"/>
          <w:b/>
          <w:bCs/>
          <w:sz w:val="32"/>
          <w:szCs w:val="32"/>
        </w:rPr>
        <w:t>二是积极改善运动队训练、生活条件。</w:t>
      </w:r>
      <w:r>
        <w:rPr>
          <w:rFonts w:hint="eastAsia" w:ascii="仿宋_GB2312" w:eastAsia="仿宋_GB2312"/>
          <w:sz w:val="32"/>
          <w:szCs w:val="32"/>
        </w:rPr>
        <w:t>广东省黄村体育训练中心、广东省船艇训练中心、广东省足球运动中心、广东省重竞技体育训练中心、广东省二沙体育训练中心、广东海上项目训练中心等6个训练基地的运动员宿舍和训练场地进行维修或升级改造，工程项目投入使用时间符合《广东省财政厅关于基本建设财务管理的实施办法》规定，年度零星维修项目全部完成，项目实施有效改善运动队训练比赛、生活设施条件，为各训练单位提供了有力的保障。</w:t>
      </w:r>
    </w:p>
    <w:p>
      <w:pPr>
        <w:widowControl/>
        <w:spacing w:line="360" w:lineRule="auto"/>
        <w:ind w:firstLine="642"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（三）专项资金使用绩效存在的问题</w:t>
      </w:r>
    </w:p>
    <w:p>
      <w:pPr>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资金支出率有待提高。主要原因是资助承办竞技类体育赛事项目中，</w:t>
      </w:r>
      <w:r>
        <w:rPr>
          <w:rFonts w:hint="eastAsia" w:ascii="仿宋_GB2312" w:hAnsi="宋体" w:eastAsia="仿宋_GB2312"/>
          <w:kern w:val="0"/>
          <w:sz w:val="32"/>
          <w:szCs w:val="32"/>
        </w:rPr>
        <w:t>部分</w:t>
      </w:r>
      <w:r>
        <w:rPr>
          <w:rFonts w:hint="eastAsia" w:ascii="仿宋_GB2312" w:hAnsi="宋体" w:eastAsia="仿宋_GB2312"/>
          <w:kern w:val="0"/>
          <w:sz w:val="32"/>
          <w:szCs w:val="32"/>
          <w:lang w:eastAsia="zh-CN"/>
        </w:rPr>
        <w:t>转移支付</w:t>
      </w:r>
      <w:r>
        <w:rPr>
          <w:rFonts w:hint="eastAsia" w:ascii="仿宋_GB2312" w:hAnsi="宋体" w:eastAsia="仿宋_GB2312"/>
          <w:kern w:val="0"/>
          <w:sz w:val="32"/>
          <w:szCs w:val="32"/>
        </w:rPr>
        <w:t>资金到位时间较晚</w:t>
      </w:r>
      <w:r>
        <w:rPr>
          <w:rFonts w:hint="eastAsia" w:ascii="仿宋_GB2312" w:eastAsia="仿宋_GB2312"/>
          <w:sz w:val="32"/>
          <w:szCs w:val="32"/>
        </w:rPr>
        <w:t>，未能及时支付项目所需的资金。</w:t>
      </w:r>
      <w:r>
        <w:rPr>
          <w:rFonts w:hint="eastAsia" w:ascii="仿宋_GB2312" w:eastAsia="仿宋_GB2312"/>
          <w:sz w:val="32"/>
          <w:szCs w:val="32"/>
          <w:lang w:val="en-US" w:eastAsia="zh-CN"/>
        </w:rPr>
        <w:t>运动队保障项目中，</w:t>
      </w:r>
      <w:r>
        <w:rPr>
          <w:rFonts w:hint="eastAsia" w:ascii="仿宋_GB2312" w:eastAsia="仿宋_GB2312"/>
          <w:sz w:val="32"/>
          <w:szCs w:val="32"/>
        </w:rPr>
        <w:t>二沙中心推进宿舍和室外管网等配套工程</w:t>
      </w:r>
      <w:r>
        <w:rPr>
          <w:rFonts w:hint="eastAsia" w:ascii="仿宋_GB2312" w:eastAsia="仿宋_GB2312"/>
          <w:sz w:val="32"/>
          <w:szCs w:val="32"/>
          <w:lang w:eastAsia="zh-CN"/>
        </w:rPr>
        <w:t>、</w:t>
      </w:r>
      <w:r>
        <w:rPr>
          <w:rFonts w:hint="eastAsia" w:ascii="仿宋_GB2312" w:eastAsia="仿宋_GB2312"/>
          <w:sz w:val="32"/>
          <w:szCs w:val="32"/>
        </w:rPr>
        <w:t>田径场、网球场建设，项目</w:t>
      </w:r>
      <w:r>
        <w:rPr>
          <w:rFonts w:hint="eastAsia" w:ascii="仿宋_GB2312" w:eastAsia="仿宋_GB2312"/>
          <w:sz w:val="32"/>
          <w:szCs w:val="32"/>
          <w:lang w:eastAsia="zh-CN"/>
        </w:rPr>
        <w:t>均</w:t>
      </w:r>
      <w:r>
        <w:rPr>
          <w:rFonts w:hint="eastAsia" w:ascii="仿宋_GB2312" w:eastAsia="仿宋_GB2312"/>
          <w:sz w:val="32"/>
          <w:szCs w:val="32"/>
        </w:rPr>
        <w:t>按施工计划，按照合同</w:t>
      </w:r>
      <w:r>
        <w:rPr>
          <w:rFonts w:hint="eastAsia" w:ascii="仿宋_GB2312" w:eastAsia="仿宋_GB2312"/>
          <w:sz w:val="32"/>
          <w:szCs w:val="32"/>
          <w:lang w:eastAsia="zh-CN"/>
        </w:rPr>
        <w:t>约定</w:t>
      </w:r>
      <w:r>
        <w:rPr>
          <w:rFonts w:hint="eastAsia" w:ascii="仿宋_GB2312" w:eastAsia="仿宋_GB2312"/>
          <w:sz w:val="32"/>
          <w:szCs w:val="32"/>
        </w:rPr>
        <w:t>，进度款暂不需要支付。</w:t>
      </w:r>
    </w:p>
    <w:p>
      <w:pPr>
        <w:spacing w:line="360" w:lineRule="auto"/>
        <w:ind w:firstLine="640" w:firstLineChars="200"/>
        <w:outlineLvl w:val="0"/>
        <w:rPr>
          <w:rFonts w:ascii="黑体" w:eastAsia="黑体"/>
          <w:sz w:val="32"/>
          <w:szCs w:val="32"/>
        </w:rPr>
      </w:pPr>
      <w:r>
        <w:rPr>
          <w:rFonts w:hint="eastAsia" w:ascii="黑体" w:eastAsia="黑体"/>
          <w:sz w:val="32"/>
          <w:szCs w:val="32"/>
        </w:rPr>
        <w:t>三、改进意见</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提升预算执行管控水平。指导各</w:t>
      </w:r>
      <w:r>
        <w:rPr>
          <w:rFonts w:hint="eastAsia" w:ascii="仿宋_GB2312" w:eastAsia="仿宋_GB2312"/>
          <w:sz w:val="32"/>
          <w:szCs w:val="32"/>
          <w:lang w:val="en-US" w:eastAsia="zh-CN"/>
        </w:rPr>
        <w:t>直属单位、</w:t>
      </w:r>
      <w:r>
        <w:rPr>
          <w:rFonts w:hint="eastAsia" w:ascii="仿宋_GB2312" w:eastAsia="仿宋_GB2312"/>
          <w:sz w:val="32"/>
          <w:szCs w:val="32"/>
        </w:rPr>
        <w:t>地市项目尽早提交资金申请，</w:t>
      </w:r>
      <w:r>
        <w:rPr>
          <w:rFonts w:hint="eastAsia" w:ascii="仿宋_GB2312" w:eastAsia="仿宋_GB2312"/>
          <w:sz w:val="32"/>
          <w:szCs w:val="32"/>
          <w:lang w:eastAsia="zh-CN"/>
        </w:rPr>
        <w:t>加强</w:t>
      </w:r>
      <w:r>
        <w:rPr>
          <w:rFonts w:hint="eastAsia" w:ascii="仿宋_GB2312" w:eastAsia="仿宋_GB2312"/>
          <w:sz w:val="32"/>
          <w:szCs w:val="32"/>
          <w:lang w:val="en-US" w:eastAsia="zh-CN"/>
        </w:rPr>
        <w:t>直属单位、</w:t>
      </w:r>
      <w:r>
        <w:rPr>
          <w:rFonts w:hint="eastAsia" w:ascii="仿宋_GB2312" w:eastAsia="仿宋_GB2312"/>
          <w:sz w:val="32"/>
          <w:szCs w:val="32"/>
        </w:rPr>
        <w:t>地市主管部门与同级财政间的沟通协调，深入了解资金拨付过程中的难题及成因，共同探讨解决策略，确保项目依规按质完成，使专项资金</w:t>
      </w:r>
      <w:r>
        <w:rPr>
          <w:rFonts w:hint="eastAsia" w:ascii="仿宋_GB2312" w:eastAsia="仿宋_GB2312"/>
          <w:sz w:val="32"/>
          <w:szCs w:val="32"/>
          <w:lang w:eastAsia="zh-CN"/>
        </w:rPr>
        <w:t>使用</w:t>
      </w:r>
      <w:r>
        <w:rPr>
          <w:rFonts w:hint="eastAsia" w:ascii="仿宋_GB2312" w:eastAsia="仿宋_GB2312"/>
          <w:sz w:val="32"/>
          <w:szCs w:val="32"/>
        </w:rPr>
        <w:t>实现</w:t>
      </w:r>
      <w:r>
        <w:rPr>
          <w:rFonts w:hint="eastAsia" w:ascii="仿宋_GB2312" w:eastAsia="仿宋_GB2312"/>
          <w:sz w:val="32"/>
          <w:szCs w:val="32"/>
          <w:lang w:eastAsia="zh-CN"/>
        </w:rPr>
        <w:t>高质高效</w:t>
      </w:r>
      <w:r>
        <w:rPr>
          <w:rFonts w:hint="eastAsia" w:ascii="仿宋_GB2312" w:eastAsia="仿宋_GB2312"/>
          <w:sz w:val="32"/>
          <w:szCs w:val="32"/>
        </w:rPr>
        <w:t>，进而实现资源优化配置。</w:t>
      </w:r>
    </w:p>
    <w:p>
      <w:pPr>
        <w:spacing w:line="360" w:lineRule="auto"/>
      </w:pPr>
    </w:p>
    <w:p/>
    <w:sectPr>
      <w:footerReference r:id="rId4" w:type="default"/>
      <w:pgSz w:w="11906" w:h="16838"/>
      <w:pgMar w:top="1417" w:right="1417" w:bottom="1417" w:left="1531" w:header="851" w:footer="850"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w Cen MT"/>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005040204"/>
    <w:charset w:val="00"/>
    <w:family w:val="swiss"/>
    <w:pitch w:val="default"/>
    <w:sig w:usb0="00000000" w:usb1="00000000" w:usb2="00000010" w:usb3="00000000" w:csb0="2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楷体_GB2312">
    <w:altName w:val="方正楷体_GBK"/>
    <w:panose1 w:val="02010609030001010101"/>
    <w:charset w:val="86"/>
    <w:family w:val="auto"/>
    <w:pitch w:val="default"/>
    <w:sig w:usb0="00000000" w:usb1="00000000" w:usb2="00000000" w:usb3="00000000" w:csb0="00040000" w:csb1="00000000"/>
  </w:font>
  <w:font w:name="楷体">
    <w:altName w:val="方正楷体_GBK"/>
    <w:panose1 w:val="020106090600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w Cen MT">
    <w:panose1 w:val="020B06020201040206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481330" cy="231140"/>
              <wp:effectExtent l="0" t="0" r="0" b="0"/>
              <wp:wrapNone/>
              <wp:docPr id="4097" name="文本框 2"/>
              <wp:cNvGraphicFramePr/>
              <a:graphic xmlns:a="http://schemas.openxmlformats.org/drawingml/2006/main">
                <a:graphicData uri="http://schemas.microsoft.com/office/word/2010/wordprocessingShape">
                  <wps:wsp>
                    <wps:cNvSpPr/>
                    <wps:spPr>
                      <a:xfrm>
                        <a:off x="0" y="0"/>
                        <a:ext cx="481330" cy="231140"/>
                      </a:xfrm>
                      <a:prstGeom prst="rect">
                        <a:avLst/>
                      </a:prstGeom>
                      <a:ln>
                        <a:noFill/>
                      </a:ln>
                    </wps:spPr>
                    <wps:txbx>
                      <w:txbxContent>
                        <w:p>
                          <w:pPr>
                            <w:pStyle w:val="5"/>
                            <w:jc w:val="center"/>
                            <w:rPr>
                              <w:rFonts w:ascii="宋体" w:hAnsi="宋体" w:eastAsia="宋体" w:cs="宋体"/>
                              <w:sz w:val="20"/>
                              <w:szCs w:val="28"/>
                            </w:rPr>
                          </w:pP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ascii="宋体" w:hAnsi="宋体" w:eastAsia="宋体" w:cs="宋体"/>
                              <w:sz w:val="20"/>
                              <w:szCs w:val="28"/>
                            </w:rPr>
                            <w:t>- 14 -</w:t>
                          </w:r>
                          <w:r>
                            <w:rPr>
                              <w:rFonts w:hint="eastAsia" w:ascii="宋体" w:hAnsi="宋体" w:eastAsia="宋体" w:cs="宋体"/>
                              <w:sz w:val="20"/>
                              <w:szCs w:val="28"/>
                            </w:rPr>
                            <w:fldChar w:fldCharType="end"/>
                          </w:r>
                        </w:p>
                      </w:txbxContent>
                    </wps:txbx>
                    <wps:bodyPr vert="horz" wrap="square" lIns="0" tIns="0" rIns="0" bIns="0" anchor="t">
                      <a:noAutofit/>
                    </wps:bodyPr>
                  </wps:wsp>
                </a:graphicData>
              </a:graphic>
            </wp:anchor>
          </w:drawing>
        </mc:Choice>
        <mc:Fallback>
          <w:pict>
            <v:rect id="文本框 2" o:spid="_x0000_s1026" o:spt="1" style="position:absolute;left:0pt;margin-top:0pt;height:18.2pt;width:37.9pt;mso-position-horizontal:center;mso-position-horizontal-relative:margin;z-index:1024;mso-width-relative:page;mso-height-relative:page;" filled="f" stroked="f" coordsize="21600,21600" o:gfxdata="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pHcPWAAAAAwEAAA8AAAAAAAAAAQAgAAAAOAAAAGRycy9k&#10;b3ducmV2LnhtbFBLAQIUABQAAAAIAIdO4kCRDuo+tQEAAEQDAAAOAAAAAAAAAAEAIAAAADsBAABk&#10;cnMvZTJvRG9jLnhtbFBLBQYAAAAABgAGAFkBAABiBQAAAAA=&#10;">
              <v:fill on="f" focussize="0,0"/>
              <v:stroke on="f"/>
              <v:imagedata o:title=""/>
              <o:lock v:ext="edit" aspectratio="f"/>
              <v:textbox inset="0mm,0mm,0mm,0mm">
                <w:txbxContent>
                  <w:p>
                    <w:pPr>
                      <w:pStyle w:val="5"/>
                      <w:jc w:val="center"/>
                      <w:rPr>
                        <w:rFonts w:ascii="宋体" w:hAnsi="宋体" w:eastAsia="宋体" w:cs="宋体"/>
                        <w:sz w:val="20"/>
                        <w:szCs w:val="28"/>
                      </w:rPr>
                    </w:pP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ascii="宋体" w:hAnsi="宋体" w:eastAsia="宋体" w:cs="宋体"/>
                        <w:sz w:val="20"/>
                        <w:szCs w:val="28"/>
                      </w:rPr>
                      <w:t>- 14 -</w:t>
                    </w:r>
                    <w:r>
                      <w:rPr>
                        <w:rFonts w:hint="eastAsia" w:ascii="宋体" w:hAnsi="宋体" w:eastAsia="宋体" w:cs="宋体"/>
                        <w:sz w:val="20"/>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BEC4136"/>
    <w:rsid w:val="F7E5AB32"/>
    <w:rsid w:val="F9FADBE6"/>
    <w:rsid w:val="FF4B6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8">
    <w:name w:val="Body Text First Indent 2"/>
    <w:basedOn w:val="3"/>
    <w:next w:val="1"/>
    <w:qFormat/>
    <w:uiPriority w:val="99"/>
    <w:pPr>
      <w:spacing w:line="360" w:lineRule="auto"/>
      <w:ind w:firstLine="420" w:firstLineChars="200"/>
    </w:pPr>
    <w:rPr>
      <w:rFonts w:ascii="仿宋_GB2312" w:hAnsi="仿宋_GB2312" w:eastAsia="仿宋_GB2312"/>
      <w:sz w:val="32"/>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rPr>
  </w:style>
  <w:style w:type="character" w:styleId="13">
    <w:name w:val="annotation reference"/>
    <w:basedOn w:val="11"/>
    <w:qFormat/>
    <w:uiPriority w:val="0"/>
    <w:rPr>
      <w:sz w:val="21"/>
      <w:szCs w:val="21"/>
    </w:rPr>
  </w:style>
  <w:style w:type="paragraph" w:customStyle="1" w:styleId="14">
    <w:name w:val="Char Char"/>
    <w:basedOn w:val="1"/>
    <w:qFormat/>
    <w:uiPriority w:val="0"/>
    <w:pPr>
      <w:widowControl/>
      <w:adjustRightInd w:val="0"/>
      <w:spacing w:after="160" w:line="240" w:lineRule="exact"/>
      <w:jc w:val="left"/>
    </w:pPr>
    <w:rPr>
      <w:rFonts w:ascii="Verdana" w:hAnsi="Verdana"/>
      <w:kern w:val="0"/>
      <w:sz w:val="20"/>
      <w:szCs w:val="20"/>
      <w:lang w:eastAsia="en-US"/>
    </w:rPr>
  </w:style>
  <w:style w:type="character" w:customStyle="1" w:styleId="15">
    <w:name w:val="font01"/>
    <w:basedOn w:val="11"/>
    <w:qFormat/>
    <w:uiPriority w:val="0"/>
    <w:rPr>
      <w:rFonts w:hint="eastAsia" w:ascii="宋体" w:hAnsi="宋体" w:eastAsia="宋体" w:cs="宋体"/>
      <w:color w:val="000000"/>
      <w:sz w:val="24"/>
      <w:szCs w:val="24"/>
      <w:u w:val="none"/>
    </w:rPr>
  </w:style>
  <w:style w:type="character" w:customStyle="1" w:styleId="16">
    <w:name w:val="font31"/>
    <w:basedOn w:val="11"/>
    <w:qFormat/>
    <w:uiPriority w:val="0"/>
    <w:rPr>
      <w:rFonts w:hint="eastAsia" w:ascii="宋体" w:hAnsi="宋体" w:eastAsia="宋体" w:cs="宋体"/>
      <w:color w:val="000000"/>
      <w:sz w:val="24"/>
      <w:szCs w:val="24"/>
      <w:u w:val="none"/>
    </w:rPr>
  </w:style>
  <w:style w:type="character" w:customStyle="1" w:styleId="17">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21</Pages>
  <Words>9954</Words>
  <Characters>11336</Characters>
  <Paragraphs>1344</Paragraphs>
  <TotalTime>7</TotalTime>
  <ScaleCrop>false</ScaleCrop>
  <LinksUpToDate>false</LinksUpToDate>
  <CharactersWithSpaces>11346</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2024-05-26T08:09:00Z</dcterms:created>
  <dc:creator>崔竹英</dc:creator>
  <cp:lastModifiedBy>钟芹香</cp:lastModifiedBy>
  <cp:lastPrinted>2021-07-01T14:50:00Z</cp:lastPrinted>
  <dcterms:modified xsi:type="dcterms:W3CDTF">2024-07-12T10:05:11Z</dcterms:modified>
  <dc:title>《规程》附件3-2：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5C235A0DC6DE458A94A7F97B867EF841_13</vt:lpwstr>
  </property>
</Properties>
</file>