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2023文化繁荣发展专项资金项目</w:t>
      </w:r>
    </w:p>
    <w:p>
      <w:pPr>
        <w:spacing w:line="360" w:lineRule="auto"/>
        <w:jc w:val="center"/>
        <w:rPr>
          <w:rFonts w:ascii="Arial Unicode MS" w:hAnsi="Arial Unicode MS" w:eastAsia="Arial Unicode MS" w:cs="Arial Unicode MS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项目绩效自评报告</w:t>
      </w:r>
    </w:p>
    <w:p>
      <w:pPr>
        <w:spacing w:line="360" w:lineRule="auto"/>
        <w:ind w:firstLine="450" w:firstLineChars="150"/>
        <w:jc w:val="center"/>
        <w:rPr>
          <w:rFonts w:hint="eastAsia" w:ascii="仿宋_GB2312" w:eastAsia="仿宋_GB2312"/>
          <w:sz w:val="30"/>
          <w:szCs w:val="30"/>
          <w:lang w:eastAsia="zh-CN"/>
        </w:rPr>
      </w:pPr>
    </w:p>
    <w:p>
      <w:pPr>
        <w:spacing w:line="360" w:lineRule="auto"/>
        <w:ind w:firstLine="450" w:firstLineChars="150"/>
        <w:rPr>
          <w:rFonts w:ascii="仿宋_GB2312" w:eastAsia="仿宋_GB2312"/>
          <w:sz w:val="30"/>
          <w:szCs w:val="30"/>
        </w:rPr>
      </w:pPr>
    </w:p>
    <w:p>
      <w:pPr>
        <w:spacing w:line="360" w:lineRule="auto"/>
        <w:ind w:firstLine="450" w:firstLineChars="150"/>
        <w:rPr>
          <w:rFonts w:ascii="仿宋_GB2312" w:eastAsia="仿宋_GB2312"/>
          <w:sz w:val="30"/>
          <w:szCs w:val="30"/>
        </w:rPr>
      </w:pPr>
    </w:p>
    <w:p>
      <w:pPr>
        <w:spacing w:line="360" w:lineRule="auto"/>
        <w:ind w:firstLine="450" w:firstLineChars="150"/>
        <w:rPr>
          <w:rFonts w:ascii="仿宋_GB2312" w:eastAsia="仿宋_GB2312"/>
          <w:sz w:val="30"/>
          <w:szCs w:val="30"/>
        </w:rPr>
      </w:pPr>
    </w:p>
    <w:p>
      <w:pPr>
        <w:spacing w:line="360" w:lineRule="auto"/>
        <w:ind w:firstLine="450" w:firstLineChars="150"/>
        <w:rPr>
          <w:rFonts w:ascii="仿宋_GB2312" w:eastAsia="仿宋_GB2312"/>
          <w:sz w:val="30"/>
          <w:szCs w:val="30"/>
        </w:rPr>
      </w:pPr>
    </w:p>
    <w:p>
      <w:pPr>
        <w:spacing w:line="360" w:lineRule="auto"/>
        <w:ind w:firstLine="450" w:firstLineChars="150"/>
        <w:rPr>
          <w:rFonts w:ascii="仿宋_GB2312" w:eastAsia="仿宋_GB2312"/>
          <w:sz w:val="30"/>
          <w:szCs w:val="30"/>
        </w:rPr>
      </w:pPr>
    </w:p>
    <w:p>
      <w:pPr>
        <w:spacing w:line="360" w:lineRule="auto"/>
        <w:ind w:firstLine="450" w:firstLineChars="150"/>
        <w:rPr>
          <w:rFonts w:ascii="仿宋_GB2312" w:eastAsia="仿宋_GB2312"/>
          <w:sz w:val="30"/>
          <w:szCs w:val="30"/>
        </w:rPr>
      </w:pPr>
    </w:p>
    <w:p>
      <w:pPr>
        <w:spacing w:line="360" w:lineRule="auto"/>
        <w:ind w:firstLine="450" w:firstLineChars="150"/>
        <w:rPr>
          <w:rFonts w:ascii="仿宋_GB2312" w:eastAsia="仿宋_GB2312"/>
          <w:sz w:val="30"/>
          <w:szCs w:val="30"/>
        </w:rPr>
      </w:pPr>
    </w:p>
    <w:p>
      <w:pPr>
        <w:spacing w:line="360" w:lineRule="auto"/>
        <w:ind w:firstLine="450" w:firstLineChars="150"/>
        <w:rPr>
          <w:rFonts w:ascii="仿宋_GB2312" w:eastAsia="仿宋_GB2312"/>
          <w:sz w:val="30"/>
          <w:szCs w:val="30"/>
        </w:rPr>
      </w:pPr>
    </w:p>
    <w:p>
      <w:pPr>
        <w:spacing w:line="360" w:lineRule="auto"/>
        <w:ind w:firstLine="450" w:firstLineChars="150"/>
        <w:rPr>
          <w:rFonts w:ascii="仿宋_GB2312" w:eastAsia="仿宋_GB2312"/>
          <w:sz w:val="30"/>
          <w:szCs w:val="30"/>
        </w:rPr>
      </w:pPr>
    </w:p>
    <w:p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财政事权名称：</w:t>
      </w:r>
      <w:r>
        <w:rPr>
          <w:rFonts w:hint="eastAsia" w:ascii="仿宋_GB2312" w:hAnsi="仿宋_GB2312" w:eastAsia="仿宋_GB2312" w:cs="仿宋_GB2312"/>
          <w:sz w:val="32"/>
          <w:szCs w:val="32"/>
        </w:rPr>
        <w:t>体育改革与发展</w:t>
      </w:r>
    </w:p>
    <w:p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对应政策任务个数：2</w:t>
      </w:r>
    </w:p>
    <w:p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具体名称：</w:t>
      </w:r>
      <w:r>
        <w:rPr>
          <w:rFonts w:hint="eastAsia" w:ascii="仿宋_GB2312" w:hAnsi="仿宋_GB2312" w:eastAsia="仿宋_GB2312" w:cs="仿宋_GB2312"/>
          <w:sz w:val="32"/>
          <w:szCs w:val="32"/>
        </w:rPr>
        <w:t>体育工作专项、足球改革经费</w:t>
      </w:r>
    </w:p>
    <w:p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预算单位：广东省体育局</w:t>
      </w:r>
    </w:p>
    <w:p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填报日期：2024年5月20日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  <w:sectPr>
          <w:pgSz w:w="11906" w:h="16838"/>
          <w:pgMar w:top="1928" w:right="1417" w:bottom="1417" w:left="1531" w:header="851" w:footer="850" w:gutter="0"/>
          <w:pgNumType w:fmt="numberInDash"/>
          <w:cols w:space="720" w:num="1"/>
          <w:docGrid w:type="lines" w:linePitch="312" w:charSpace="0"/>
        </w:sectPr>
      </w:pP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广东省财政厅关于开展2024年省级财政资金绩效自评工作的通知》的要求，为进一步压实预算绩效管理主体责任，提高财政资金使用效益，我局开展了2023年“文化繁荣发展专项资金（体育改革与发展）”项目（以下简称“体育改革与发展项目”）绩效自评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针对该项目的过程、产出和效益等方面的内容，我局着重盘点专项资金使用绩效，分析存在的问题和改进意见。</w:t>
      </w:r>
      <w:r>
        <w:rPr>
          <w:rFonts w:hint="eastAsia" w:ascii="仿宋_GB2312" w:eastAsia="仿宋_GB2312"/>
          <w:sz w:val="32"/>
          <w:szCs w:val="32"/>
        </w:rPr>
        <w:t>现就该项目的绩效自评情况报告如下：</w:t>
      </w:r>
    </w:p>
    <w:p>
      <w:pPr>
        <w:snapToGrid w:val="0"/>
        <w:spacing w:line="360" w:lineRule="auto"/>
        <w:ind w:firstLine="640" w:firstLineChars="200"/>
        <w:outlineLvl w:val="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>
      <w:pPr>
        <w:snapToGrid w:val="0"/>
        <w:spacing w:line="360" w:lineRule="auto"/>
        <w:ind w:firstLine="642" w:firstLineChars="200"/>
        <w:outlineLvl w:val="1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（一）资金分配方式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广东省财政厅关于批复2023年省级部门预算的通知》《广东省财政厅关于下达2023年文化繁荣专项资金（省体育局部分）的通知》（粤财科教〔2023〕72号）、《广东省财政厅关于2023年度体育彩票公益金上年结转资金的通知》（粤财科教〔2023〕154号），2023年“体育改革与发展项目”资金共8,523万元，其中：省直单位3,298万元、转移支付市县5,225万元，项目资金已于2023年1月、6月、11月分批到位。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在资金分配方面，我局采取项目制分配方式。根据各直属单位、地市主管部门申报项目提出资金分配建议后，经我局党组集体讨论通过后报省财政厅审核，按程序报批后下达。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该项目包含2个政策任务：体育工作专项、足球经费改革。该项目各政策任务资金分配情况如表1-1所示。</w:t>
      </w:r>
    </w:p>
    <w:p>
      <w:pPr>
        <w:spacing w:line="360" w:lineRule="auto"/>
        <w:jc w:val="center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表1-1 体育改革与发展项目资金分配情况表</w:t>
      </w:r>
    </w:p>
    <w:tbl>
      <w:tblPr>
        <w:tblStyle w:val="11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800"/>
        <w:gridCol w:w="3058"/>
        <w:gridCol w:w="1695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0" w:type="dxa"/>
            <w:shd w:val="clear" w:color="auto" w:fill="DBEEF3" w:themeFill="accent5" w:themeFillTint="32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政策任务</w:t>
            </w:r>
          </w:p>
        </w:tc>
        <w:tc>
          <w:tcPr>
            <w:tcW w:w="1777" w:type="dxa"/>
            <w:shd w:val="clear" w:color="auto" w:fill="DBEEF3" w:themeFill="accent5" w:themeFillTint="32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项目单位</w:t>
            </w:r>
          </w:p>
        </w:tc>
        <w:tc>
          <w:tcPr>
            <w:tcW w:w="3020" w:type="dxa"/>
            <w:shd w:val="clear" w:color="auto" w:fill="DBEEF3" w:themeFill="accent5" w:themeFillTint="32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hd w:val="clear" w:fill="DBEEF3"/>
                <w:lang w:bidi="ar"/>
              </w:rPr>
              <w:t>项目名称</w:t>
            </w:r>
          </w:p>
        </w:tc>
        <w:tc>
          <w:tcPr>
            <w:tcW w:w="1674" w:type="dxa"/>
            <w:shd w:val="clear" w:color="auto" w:fill="DBEEF3" w:themeFill="accent5" w:themeFillTint="32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预算资金</w:t>
            </w:r>
          </w:p>
          <w:p>
            <w:pPr>
              <w:pStyle w:val="4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万元</w:t>
            </w:r>
            <w:r>
              <w:rPr>
                <w:rFonts w:hint="eastAsia" w:ascii="仿宋_GB2312" w:hAnsi="仿宋_GB2312" w:cs="仿宋_GB2312"/>
                <w:b/>
                <w:bCs/>
                <w:sz w:val="24"/>
                <w:lang w:eastAsia="zh-CN"/>
              </w:rPr>
              <w:t>）</w:t>
            </w:r>
          </w:p>
        </w:tc>
        <w:tc>
          <w:tcPr>
            <w:tcW w:w="1266" w:type="dxa"/>
            <w:shd w:val="clear" w:color="auto" w:fill="DBEEF3" w:themeFill="accent5" w:themeFillTint="32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资金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文号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体育工作专项</w:t>
            </w:r>
          </w:p>
        </w:tc>
        <w:tc>
          <w:tcPr>
            <w:tcW w:w="177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广东省体育局</w:t>
            </w:r>
          </w:p>
        </w:tc>
        <w:tc>
          <w:tcPr>
            <w:tcW w:w="3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发展体育产业</w:t>
            </w:r>
          </w:p>
        </w:tc>
        <w:tc>
          <w:tcPr>
            <w:tcW w:w="167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510</w:t>
            </w:r>
          </w:p>
        </w:tc>
        <w:tc>
          <w:tcPr>
            <w:tcW w:w="126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2023年部门预算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局宣传工作经费</w:t>
            </w:r>
          </w:p>
        </w:tc>
        <w:tc>
          <w:tcPr>
            <w:tcW w:w="167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575</w:t>
            </w:r>
          </w:p>
        </w:tc>
        <w:tc>
          <w:tcPr>
            <w:tcW w:w="126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体育科研医疗和反兴奋剂保障工作</w:t>
            </w:r>
          </w:p>
        </w:tc>
        <w:tc>
          <w:tcPr>
            <w:tcW w:w="167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30</w:t>
            </w:r>
          </w:p>
        </w:tc>
        <w:tc>
          <w:tcPr>
            <w:tcW w:w="126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短跑项目运动机能评定与创新研究实验室建设</w:t>
            </w:r>
          </w:p>
        </w:tc>
        <w:tc>
          <w:tcPr>
            <w:tcW w:w="167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200</w:t>
            </w:r>
          </w:p>
        </w:tc>
        <w:tc>
          <w:tcPr>
            <w:tcW w:w="126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产业品牌工程</w:t>
            </w:r>
          </w:p>
        </w:tc>
        <w:tc>
          <w:tcPr>
            <w:tcW w:w="167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粤财科教〔2023〕154号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7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广东省社会体育和训练竞赛中心</w:t>
            </w:r>
          </w:p>
        </w:tc>
        <w:tc>
          <w:tcPr>
            <w:tcW w:w="3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体育对外交流</w:t>
            </w:r>
          </w:p>
        </w:tc>
        <w:tc>
          <w:tcPr>
            <w:tcW w:w="167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  <w:tc>
          <w:tcPr>
            <w:tcW w:w="126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2023年部门预算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智慧监督平台</w:t>
            </w:r>
          </w:p>
        </w:tc>
        <w:tc>
          <w:tcPr>
            <w:tcW w:w="167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215</w:t>
            </w:r>
          </w:p>
        </w:tc>
        <w:tc>
          <w:tcPr>
            <w:tcW w:w="126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开展体育宣传工作</w:t>
            </w:r>
          </w:p>
        </w:tc>
        <w:tc>
          <w:tcPr>
            <w:tcW w:w="167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60</w:t>
            </w:r>
          </w:p>
        </w:tc>
        <w:tc>
          <w:tcPr>
            <w:tcW w:w="126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组织开展“一带一路”沿线国家及地区、粤港澳体育交流活动</w:t>
            </w:r>
          </w:p>
        </w:tc>
        <w:tc>
          <w:tcPr>
            <w:tcW w:w="167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160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粤财科教〔2023〕154号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广东省人民体育场</w:t>
            </w:r>
          </w:p>
        </w:tc>
        <w:tc>
          <w:tcPr>
            <w:tcW w:w="3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爱国主义教育基地</w:t>
            </w:r>
          </w:p>
        </w:tc>
        <w:tc>
          <w:tcPr>
            <w:tcW w:w="167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50</w:t>
            </w:r>
          </w:p>
        </w:tc>
        <w:tc>
          <w:tcPr>
            <w:tcW w:w="126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2023年部门预算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广东省体育科学研究所</w:t>
            </w:r>
          </w:p>
        </w:tc>
        <w:tc>
          <w:tcPr>
            <w:tcW w:w="3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2023开展反兴奋剂工作</w:t>
            </w:r>
          </w:p>
        </w:tc>
        <w:tc>
          <w:tcPr>
            <w:tcW w:w="167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125</w:t>
            </w:r>
          </w:p>
        </w:tc>
        <w:tc>
          <w:tcPr>
            <w:tcW w:w="126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0" w:type="dxa"/>
            <w:vMerge w:val="continue"/>
            <w:shd w:val="clear" w:color="auto" w:fill="EBF1DE" w:themeFill="accent3" w:themeFillTint="32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797" w:type="dxa"/>
            <w:gridSpan w:val="2"/>
            <w:shd w:val="clear" w:color="auto" w:fill="EBF1DE" w:themeFill="accent3" w:themeFillTint="32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省直单位小计</w:t>
            </w:r>
          </w:p>
        </w:tc>
        <w:tc>
          <w:tcPr>
            <w:tcW w:w="1674" w:type="dxa"/>
            <w:shd w:val="clear" w:color="auto" w:fill="EBF1DE" w:themeFill="accent3" w:themeFillTint="32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2035</w:t>
            </w:r>
          </w:p>
        </w:tc>
        <w:tc>
          <w:tcPr>
            <w:tcW w:w="1266" w:type="dxa"/>
            <w:shd w:val="clear" w:color="auto" w:fill="EBF1DE" w:themeFill="accent3" w:themeFillTint="32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77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梅州市五华县</w:t>
            </w:r>
          </w:p>
        </w:tc>
        <w:tc>
          <w:tcPr>
            <w:tcW w:w="3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驻镇工作队经费（转移支付五华）</w:t>
            </w:r>
          </w:p>
        </w:tc>
        <w:tc>
          <w:tcPr>
            <w:tcW w:w="167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</w:t>
            </w:r>
          </w:p>
        </w:tc>
        <w:tc>
          <w:tcPr>
            <w:tcW w:w="126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粤财科教〔2023〕72号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77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世界球王李惠堂旧居展馆足球文化宣传展示（转移支付五华）</w:t>
            </w:r>
          </w:p>
        </w:tc>
        <w:tc>
          <w:tcPr>
            <w:tcW w:w="167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</w:t>
            </w:r>
          </w:p>
        </w:tc>
        <w:tc>
          <w:tcPr>
            <w:tcW w:w="126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77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3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体育产业名录库建设</w:t>
            </w:r>
          </w:p>
        </w:tc>
        <w:tc>
          <w:tcPr>
            <w:tcW w:w="167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  <w:tc>
          <w:tcPr>
            <w:tcW w:w="126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77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云浮市</w:t>
            </w:r>
          </w:p>
        </w:tc>
        <w:tc>
          <w:tcPr>
            <w:tcW w:w="3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体育产业名录库建设</w:t>
            </w:r>
          </w:p>
        </w:tc>
        <w:tc>
          <w:tcPr>
            <w:tcW w:w="167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126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77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揭阳市</w:t>
            </w:r>
          </w:p>
        </w:tc>
        <w:tc>
          <w:tcPr>
            <w:tcW w:w="3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体育产业名录库建设</w:t>
            </w:r>
          </w:p>
        </w:tc>
        <w:tc>
          <w:tcPr>
            <w:tcW w:w="167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126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77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潮州市</w:t>
            </w:r>
          </w:p>
        </w:tc>
        <w:tc>
          <w:tcPr>
            <w:tcW w:w="3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体育产业名录库建设</w:t>
            </w:r>
          </w:p>
        </w:tc>
        <w:tc>
          <w:tcPr>
            <w:tcW w:w="167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126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77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中山市</w:t>
            </w:r>
          </w:p>
        </w:tc>
        <w:tc>
          <w:tcPr>
            <w:tcW w:w="3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体育产业名录库建设</w:t>
            </w:r>
          </w:p>
        </w:tc>
        <w:tc>
          <w:tcPr>
            <w:tcW w:w="167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126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77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东莞市</w:t>
            </w:r>
          </w:p>
        </w:tc>
        <w:tc>
          <w:tcPr>
            <w:tcW w:w="3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体育产业名录库建设</w:t>
            </w:r>
          </w:p>
        </w:tc>
        <w:tc>
          <w:tcPr>
            <w:tcW w:w="167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126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77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清远市</w:t>
            </w:r>
          </w:p>
        </w:tc>
        <w:tc>
          <w:tcPr>
            <w:tcW w:w="3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体育产业名录库建设</w:t>
            </w:r>
          </w:p>
        </w:tc>
        <w:tc>
          <w:tcPr>
            <w:tcW w:w="167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126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77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阳江市</w:t>
            </w:r>
          </w:p>
        </w:tc>
        <w:tc>
          <w:tcPr>
            <w:tcW w:w="3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体育产业名录库建设</w:t>
            </w:r>
          </w:p>
        </w:tc>
        <w:tc>
          <w:tcPr>
            <w:tcW w:w="167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126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77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河源市</w:t>
            </w:r>
          </w:p>
        </w:tc>
        <w:tc>
          <w:tcPr>
            <w:tcW w:w="3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体育产业名录库建设</w:t>
            </w:r>
          </w:p>
        </w:tc>
        <w:tc>
          <w:tcPr>
            <w:tcW w:w="167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126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77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汕尾市</w:t>
            </w:r>
          </w:p>
        </w:tc>
        <w:tc>
          <w:tcPr>
            <w:tcW w:w="3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体育产业名录库建设</w:t>
            </w:r>
          </w:p>
        </w:tc>
        <w:tc>
          <w:tcPr>
            <w:tcW w:w="167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126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77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梅州市</w:t>
            </w:r>
          </w:p>
        </w:tc>
        <w:tc>
          <w:tcPr>
            <w:tcW w:w="3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体育产业名录库建设</w:t>
            </w:r>
          </w:p>
        </w:tc>
        <w:tc>
          <w:tcPr>
            <w:tcW w:w="167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126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77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惠州市</w:t>
            </w:r>
          </w:p>
        </w:tc>
        <w:tc>
          <w:tcPr>
            <w:tcW w:w="3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体育产业名录库建设</w:t>
            </w:r>
          </w:p>
        </w:tc>
        <w:tc>
          <w:tcPr>
            <w:tcW w:w="167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126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77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肇庆市</w:t>
            </w:r>
          </w:p>
        </w:tc>
        <w:tc>
          <w:tcPr>
            <w:tcW w:w="3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体育产业名录库建设</w:t>
            </w:r>
          </w:p>
        </w:tc>
        <w:tc>
          <w:tcPr>
            <w:tcW w:w="167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126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77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茂名市</w:t>
            </w:r>
          </w:p>
        </w:tc>
        <w:tc>
          <w:tcPr>
            <w:tcW w:w="3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体育产业名录库建设</w:t>
            </w:r>
          </w:p>
        </w:tc>
        <w:tc>
          <w:tcPr>
            <w:tcW w:w="167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126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77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湛江市</w:t>
            </w:r>
          </w:p>
        </w:tc>
        <w:tc>
          <w:tcPr>
            <w:tcW w:w="3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体育产业名录库建设</w:t>
            </w:r>
          </w:p>
        </w:tc>
        <w:tc>
          <w:tcPr>
            <w:tcW w:w="167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126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77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江门市</w:t>
            </w:r>
          </w:p>
        </w:tc>
        <w:tc>
          <w:tcPr>
            <w:tcW w:w="3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体育产业名录库建设</w:t>
            </w:r>
          </w:p>
        </w:tc>
        <w:tc>
          <w:tcPr>
            <w:tcW w:w="167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126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77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佛山市</w:t>
            </w:r>
          </w:p>
        </w:tc>
        <w:tc>
          <w:tcPr>
            <w:tcW w:w="3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体育产业名录库建设</w:t>
            </w:r>
          </w:p>
        </w:tc>
        <w:tc>
          <w:tcPr>
            <w:tcW w:w="167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126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77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汕头市</w:t>
            </w:r>
          </w:p>
        </w:tc>
        <w:tc>
          <w:tcPr>
            <w:tcW w:w="3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体育产业名录库建设</w:t>
            </w:r>
          </w:p>
        </w:tc>
        <w:tc>
          <w:tcPr>
            <w:tcW w:w="167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126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77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珠海市</w:t>
            </w:r>
          </w:p>
        </w:tc>
        <w:tc>
          <w:tcPr>
            <w:tcW w:w="3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体育产业名录库建设</w:t>
            </w:r>
          </w:p>
        </w:tc>
        <w:tc>
          <w:tcPr>
            <w:tcW w:w="167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126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77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韶关市</w:t>
            </w:r>
          </w:p>
        </w:tc>
        <w:tc>
          <w:tcPr>
            <w:tcW w:w="3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体育产业名录库建设</w:t>
            </w:r>
          </w:p>
        </w:tc>
        <w:tc>
          <w:tcPr>
            <w:tcW w:w="167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126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797" w:type="dxa"/>
            <w:gridSpan w:val="2"/>
            <w:shd w:val="clear" w:color="auto" w:fill="EBF1DE" w:themeFill="accent3" w:themeFillTint="32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转移支付市县小计</w:t>
            </w:r>
          </w:p>
        </w:tc>
        <w:tc>
          <w:tcPr>
            <w:tcW w:w="1674" w:type="dxa"/>
            <w:shd w:val="clear" w:color="auto" w:fill="EBF1DE" w:themeFill="accent3" w:themeFillTint="32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1266" w:type="dxa"/>
            <w:shd w:val="clear" w:color="auto" w:fill="EBF1DE" w:themeFill="accent3" w:themeFillTint="32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97" w:type="dxa"/>
            <w:gridSpan w:val="2"/>
            <w:shd w:val="clear" w:color="auto" w:fill="DBEEF3" w:themeFill="accent5" w:themeFillTint="32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体育工作专项合计</w:t>
            </w:r>
          </w:p>
        </w:tc>
        <w:tc>
          <w:tcPr>
            <w:tcW w:w="1674" w:type="dxa"/>
            <w:shd w:val="clear" w:color="auto" w:fill="DBEEF3" w:themeFill="accent5" w:themeFillTint="32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2260</w:t>
            </w:r>
          </w:p>
        </w:tc>
        <w:tc>
          <w:tcPr>
            <w:tcW w:w="1266" w:type="dxa"/>
            <w:shd w:val="clear" w:color="auto" w:fill="DBEEF3" w:themeFill="accent5" w:themeFillTint="32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足球改革经费</w:t>
            </w:r>
          </w:p>
        </w:tc>
        <w:tc>
          <w:tcPr>
            <w:tcW w:w="177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广东省体育局</w:t>
            </w:r>
          </w:p>
        </w:tc>
        <w:tc>
          <w:tcPr>
            <w:tcW w:w="3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省足协服务项目</w:t>
            </w:r>
          </w:p>
        </w:tc>
        <w:tc>
          <w:tcPr>
            <w:tcW w:w="16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1000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2023年部门预算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2023-2024粤港澳大湾区城市足球赛</w:t>
            </w:r>
          </w:p>
        </w:tc>
        <w:tc>
          <w:tcPr>
            <w:tcW w:w="167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253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粤财科教〔2023〕154号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广东省体育局幼儿园</w:t>
            </w:r>
          </w:p>
        </w:tc>
        <w:tc>
          <w:tcPr>
            <w:tcW w:w="3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足球校园建设</w:t>
            </w:r>
          </w:p>
        </w:tc>
        <w:tc>
          <w:tcPr>
            <w:tcW w:w="167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2023年部门预算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797" w:type="dxa"/>
            <w:gridSpan w:val="2"/>
            <w:shd w:val="clear" w:color="auto" w:fill="EBF1DE" w:themeFill="accent3" w:themeFillTint="32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省直单位小计</w:t>
            </w:r>
          </w:p>
        </w:tc>
        <w:tc>
          <w:tcPr>
            <w:tcW w:w="1674" w:type="dxa"/>
            <w:shd w:val="clear" w:color="auto" w:fill="EBF1DE" w:themeFill="accent3" w:themeFillTint="32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1263</w:t>
            </w:r>
          </w:p>
        </w:tc>
        <w:tc>
          <w:tcPr>
            <w:tcW w:w="1266" w:type="dxa"/>
            <w:shd w:val="clear" w:color="auto" w:fill="EBF1DE" w:themeFill="accent3" w:themeFillTint="32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77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梅州市</w:t>
            </w:r>
          </w:p>
        </w:tc>
        <w:tc>
          <w:tcPr>
            <w:tcW w:w="3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梅州市“双青”工程专项资金</w:t>
            </w:r>
          </w:p>
        </w:tc>
        <w:tc>
          <w:tcPr>
            <w:tcW w:w="16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5000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粤财科教〔2023〕72号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797" w:type="dxa"/>
            <w:gridSpan w:val="2"/>
            <w:shd w:val="clear" w:color="auto" w:fill="EBF1DE" w:themeFill="accent3" w:themeFillTint="32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转移支付市县小计</w:t>
            </w:r>
          </w:p>
        </w:tc>
        <w:tc>
          <w:tcPr>
            <w:tcW w:w="1674" w:type="dxa"/>
            <w:shd w:val="clear" w:color="auto" w:fill="EBF1DE" w:themeFill="accent3" w:themeFillTint="32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5000</w:t>
            </w:r>
          </w:p>
        </w:tc>
        <w:tc>
          <w:tcPr>
            <w:tcW w:w="1266" w:type="dxa"/>
            <w:shd w:val="clear" w:color="auto" w:fill="EBF1DE" w:themeFill="accent3" w:themeFillTint="32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97" w:type="dxa"/>
            <w:gridSpan w:val="2"/>
            <w:shd w:val="clear" w:color="auto" w:fill="DBEEF3" w:themeFill="accent5" w:themeFillTint="32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足球改革经费合计</w:t>
            </w:r>
          </w:p>
        </w:tc>
        <w:tc>
          <w:tcPr>
            <w:tcW w:w="1674" w:type="dxa"/>
            <w:shd w:val="clear" w:color="auto" w:fill="DBEEF3" w:themeFill="accent5" w:themeFillTint="32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6263</w:t>
            </w:r>
          </w:p>
        </w:tc>
        <w:tc>
          <w:tcPr>
            <w:tcW w:w="1266" w:type="dxa"/>
            <w:shd w:val="clear" w:color="auto" w:fill="DBEEF3" w:themeFill="accent5" w:themeFillTint="32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17" w:type="dxa"/>
            <w:gridSpan w:val="3"/>
            <w:shd w:val="clear" w:color="auto" w:fill="DBEEF3" w:themeFill="accent5" w:themeFillTint="32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1674" w:type="dxa"/>
            <w:shd w:val="clear" w:color="auto" w:fill="DBEEF3" w:themeFill="accent5" w:themeFillTint="32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8523</w:t>
            </w:r>
          </w:p>
        </w:tc>
        <w:tc>
          <w:tcPr>
            <w:tcW w:w="1266" w:type="dxa"/>
            <w:shd w:val="clear" w:color="auto" w:fill="DBEEF3" w:themeFill="accent5" w:themeFillTint="32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spacing w:before="156" w:beforeLines="50" w:line="360" w:lineRule="auto"/>
        <w:ind w:firstLine="642" w:firstLineChars="200"/>
        <w:outlineLvl w:val="1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（二）项目主要用途、扶持对象</w:t>
      </w:r>
    </w:p>
    <w:p>
      <w:pPr>
        <w:adjustRightInd w:val="0"/>
        <w:snapToGrid w:val="0"/>
        <w:spacing w:line="360" w:lineRule="auto"/>
        <w:ind w:firstLine="642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1.体育工作专项：</w:t>
      </w:r>
      <w:r>
        <w:rPr>
          <w:rFonts w:hint="eastAsia" w:ascii="仿宋_GB2312" w:eastAsia="仿宋_GB2312"/>
          <w:sz w:val="32"/>
          <w:szCs w:val="32"/>
        </w:rPr>
        <w:t>安排2,260万元用于完成体育产业统计核算、实施体育消费调查、举办广东国际体育用品博览会、举办体育产业论坛、维护宣传平台（包括网站、两微一端）、开展舆情监控服务；在中新社、新华社、凤凰网等媒体开设专栏；</w:t>
      </w:r>
      <w:r>
        <w:rPr>
          <w:rFonts w:hint="eastAsia" w:ascii="仿宋_GB2312" w:eastAsia="仿宋_GB2312"/>
          <w:sz w:val="32"/>
          <w:szCs w:val="32"/>
          <w:highlight w:val="none"/>
        </w:rPr>
        <w:t>在科医与反兴奋</w:t>
      </w:r>
      <w:r>
        <w:rPr>
          <w:rFonts w:hint="eastAsia" w:ascii="仿宋_GB2312" w:eastAsia="仿宋_GB2312"/>
          <w:sz w:val="32"/>
          <w:szCs w:val="32"/>
        </w:rPr>
        <w:t>剂方面，推动省体育局科研课题项目及专业技术人员继续教育培训；推进广东省体育科技协同创新中心的建设，支持苏炳添速度研究与训练中心的设立；组织并召开全省反兴奋剂工作会议，为新周期训练备战的反兴奋剂工作提供保障；并在李惠堂旧居开展足球文化的宣传与展示。</w:t>
      </w:r>
    </w:p>
    <w:p>
      <w:pPr>
        <w:spacing w:line="360" w:lineRule="auto"/>
        <w:ind w:firstLine="642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2.足球改革经费：</w:t>
      </w:r>
      <w:r>
        <w:rPr>
          <w:rFonts w:hint="eastAsia" w:ascii="仿宋_GB2312" w:eastAsia="仿宋_GB2312"/>
          <w:sz w:val="32"/>
          <w:szCs w:val="32"/>
        </w:rPr>
        <w:t>安排6,263万元用于足球改革工作开展，包括足球竞赛培训活动开展、足协组织架构完善建设、足球宣传交流工作、足球人才培养、“双青”工程专项。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2" w:firstLineChars="200"/>
        <w:textAlignment w:val="auto"/>
        <w:outlineLvl w:val="1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（三）项目绩效目标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广东省财政厅关于告知2023年省级财政专项资金等相关预算安排计划的通知》《广东省财政厅关于下达2023年文化繁荣专项资金（省体育局部分）的通知》（粤财科教〔2023〕72号）等文件，体育改革与发展项目的绩效目标和指标分别如表1-2、1-3所示。</w:t>
      </w:r>
    </w:p>
    <w:p>
      <w:pPr>
        <w:spacing w:line="360" w:lineRule="auto"/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表1-2 体育改革与发展项目（体育工作专项）绩效目标表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832"/>
        <w:gridCol w:w="1192"/>
        <w:gridCol w:w="3937"/>
        <w:gridCol w:w="2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1" w:hRule="atLeast"/>
          <w:jc w:val="center"/>
        </w:trPr>
        <w:tc>
          <w:tcPr>
            <w:tcW w:w="974" w:type="dxa"/>
            <w:shd w:val="clear" w:color="auto" w:fill="DBEEF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绩效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目标</w:t>
            </w:r>
          </w:p>
        </w:tc>
        <w:tc>
          <w:tcPr>
            <w:tcW w:w="7983" w:type="dxa"/>
            <w:gridSpan w:val="4"/>
            <w:vAlign w:val="center"/>
          </w:tcPr>
          <w:p>
            <w:pPr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进一步完善体育产业名录库建设，保持体育产业信息平台运行稳定，体育产业大数据初步形成；完成年度体育产业统计核算，试点开展居民体育消费调查，编制体育产业报告，全面掌握全省体育产业发展状况；深入研究体育产业、体育标准化、体育计量等相关政策，优化体育产业制度环境；积极开展年度国家和省级体育产业示范基地的评选与培育，强化产业示范效应；定期举办广东国际体博会和广东体育产业发展论坛，构建产业交流和贸易平台；组织开展体育产业干部培训和体育产业统计培训，不断提高产业人才队伍的业务素养。</w:t>
            </w:r>
          </w:p>
          <w:p>
            <w:pPr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维护省体育局网站、两微一端等宣传平台，及时发布体育相关信息，每月及重大事件提供舆情监控报告；构建媒体矩阵，形成涵盖电视、网络、新媒体等多渠道的立体宣传平台，与国家级、省级媒体合作，开设专栏，全年发稿量达到1000篇以上；针对工作热点和重大需求，制作全民健身指导专题视频等宣传片，开展系列体育宣传活动。另外，通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过李惠堂旧居展馆足球文化宣传展示，进一步提高我县足球的社会关注度和影响力，营造群众积极参与的足球发展良好氛围。</w:t>
            </w:r>
          </w:p>
          <w:p>
            <w:pPr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3.稳步推动省体育局科研课题项目，完成2023年度专业技术人员继续教育培训，提升我省体育科研人员的研究和实践能力；推进广东省体育科技协同创新中心建设，力争将我省体育科技水平提升至全国前列；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支持苏炳添速度研究与训练中心建设，强化中心人员、设备、技术保障；组织召开全省反兴奋剂工作会议，确保新周期训练备战的反兴奋剂工作顺利进行。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74" w:type="dxa"/>
            <w:vMerge w:val="restart"/>
            <w:shd w:val="clear" w:color="auto" w:fill="DBEEF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绩效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指标</w:t>
            </w: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一级指标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二级指标</w:t>
            </w:r>
          </w:p>
        </w:tc>
        <w:tc>
          <w:tcPr>
            <w:tcW w:w="393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三级指标</w:t>
            </w:r>
          </w:p>
        </w:tc>
        <w:tc>
          <w:tcPr>
            <w:tcW w:w="202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年度目标值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74" w:type="dxa"/>
            <w:vMerge w:val="continue"/>
            <w:shd w:val="clear" w:color="auto" w:fill="DBEEF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832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产出指标</w:t>
            </w:r>
          </w:p>
        </w:tc>
        <w:tc>
          <w:tcPr>
            <w:tcW w:w="1192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数量指标</w:t>
            </w:r>
          </w:p>
        </w:tc>
        <w:tc>
          <w:tcPr>
            <w:tcW w:w="39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报道次数（次）</w:t>
            </w:r>
          </w:p>
        </w:tc>
        <w:tc>
          <w:tcPr>
            <w:tcW w:w="20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≥1016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74" w:type="dxa"/>
            <w:vMerge w:val="continue"/>
            <w:shd w:val="clear" w:color="auto" w:fill="DBEEF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83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9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组织培训次数（次）</w:t>
            </w:r>
          </w:p>
        </w:tc>
        <w:tc>
          <w:tcPr>
            <w:tcW w:w="20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≥1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74" w:type="dxa"/>
            <w:vMerge w:val="continue"/>
            <w:shd w:val="clear" w:color="auto" w:fill="DBEEF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83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9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参加反兴奋剂教育人次（个）</w:t>
            </w:r>
          </w:p>
        </w:tc>
        <w:tc>
          <w:tcPr>
            <w:tcW w:w="20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≥1000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74" w:type="dxa"/>
            <w:vMerge w:val="continue"/>
            <w:shd w:val="clear" w:color="auto" w:fill="DBEEF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83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9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举办广东体育用品博览会（场次）</w:t>
            </w:r>
          </w:p>
        </w:tc>
        <w:tc>
          <w:tcPr>
            <w:tcW w:w="20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≥1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74" w:type="dxa"/>
            <w:vMerge w:val="continue"/>
            <w:shd w:val="clear" w:color="auto" w:fill="DBEEF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83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9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开设专栏数量（报纸、电视媒体、网媒等）（个）</w:t>
            </w:r>
          </w:p>
        </w:tc>
        <w:tc>
          <w:tcPr>
            <w:tcW w:w="20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≥10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74" w:type="dxa"/>
            <w:vMerge w:val="continue"/>
            <w:shd w:val="clear" w:color="auto" w:fill="DBEEF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83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92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质量指标</w:t>
            </w:r>
          </w:p>
        </w:tc>
        <w:tc>
          <w:tcPr>
            <w:tcW w:w="39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培训出勤率（%）</w:t>
            </w:r>
          </w:p>
        </w:tc>
        <w:tc>
          <w:tcPr>
            <w:tcW w:w="20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74" w:type="dxa"/>
            <w:vMerge w:val="continue"/>
            <w:shd w:val="clear" w:color="auto" w:fill="DBEEF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83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9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微信公众平台发稿量（篇）</w:t>
            </w:r>
          </w:p>
        </w:tc>
        <w:tc>
          <w:tcPr>
            <w:tcW w:w="20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≥1000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74" w:type="dxa"/>
            <w:vMerge w:val="continue"/>
            <w:shd w:val="clear" w:color="auto" w:fill="DBEEF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83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9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调查工作验收合格率（%）</w:t>
            </w:r>
          </w:p>
        </w:tc>
        <w:tc>
          <w:tcPr>
            <w:tcW w:w="20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74" w:type="dxa"/>
            <w:vMerge w:val="continue"/>
            <w:shd w:val="clear" w:color="auto" w:fill="DBEEF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83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9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宣传信息发布准确率（%）</w:t>
            </w:r>
          </w:p>
        </w:tc>
        <w:tc>
          <w:tcPr>
            <w:tcW w:w="20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74" w:type="dxa"/>
            <w:vMerge w:val="continue"/>
            <w:shd w:val="clear" w:color="auto" w:fill="DBEEF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83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9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微信公众平台发稿频次（篇次/周）</w:t>
            </w:r>
          </w:p>
        </w:tc>
        <w:tc>
          <w:tcPr>
            <w:tcW w:w="20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74" w:type="dxa"/>
            <w:vMerge w:val="continue"/>
            <w:shd w:val="clear" w:color="auto" w:fill="DBEEF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832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效益指标</w:t>
            </w:r>
          </w:p>
        </w:tc>
        <w:tc>
          <w:tcPr>
            <w:tcW w:w="1192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社会效益</w:t>
            </w:r>
          </w:p>
        </w:tc>
        <w:tc>
          <w:tcPr>
            <w:tcW w:w="39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报道转发率（%）</w:t>
            </w:r>
          </w:p>
        </w:tc>
        <w:tc>
          <w:tcPr>
            <w:tcW w:w="20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74" w:type="dxa"/>
            <w:vMerge w:val="continue"/>
            <w:shd w:val="clear" w:color="auto" w:fill="DBEEF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83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9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为政府主管部门、社会投资主体提供信息支撑</w:t>
            </w:r>
          </w:p>
        </w:tc>
        <w:tc>
          <w:tcPr>
            <w:tcW w:w="20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每年发布一次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74" w:type="dxa"/>
            <w:vMerge w:val="continue"/>
            <w:shd w:val="clear" w:color="auto" w:fill="DBEEF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83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92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服务对象满意度</w:t>
            </w:r>
          </w:p>
        </w:tc>
        <w:tc>
          <w:tcPr>
            <w:tcW w:w="39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群众满意度（%）</w:t>
            </w:r>
          </w:p>
        </w:tc>
        <w:tc>
          <w:tcPr>
            <w:tcW w:w="20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≥90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74" w:type="dxa"/>
            <w:vMerge w:val="continue"/>
            <w:shd w:val="clear" w:color="auto" w:fill="DBEEF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83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9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参与活动人员满意度（%）</w:t>
            </w:r>
          </w:p>
        </w:tc>
        <w:tc>
          <w:tcPr>
            <w:tcW w:w="20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≥90</w:t>
            </w:r>
          </w:p>
        </w:tc>
      </w:tr>
    </w:tbl>
    <w:p>
      <w:pPr>
        <w:spacing w:before="156" w:beforeLines="50"/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表1-3 体育改革与发展项目（足球改革经费）绩效目标表</w:t>
      </w:r>
    </w:p>
    <w:tbl>
      <w:tblPr>
        <w:tblStyle w:val="12"/>
        <w:tblW w:w="8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843"/>
        <w:gridCol w:w="1338"/>
        <w:gridCol w:w="3829"/>
        <w:gridCol w:w="1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991" w:type="dxa"/>
            <w:shd w:val="clear" w:color="auto" w:fill="DBEEF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绩效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目标</w:t>
            </w:r>
          </w:p>
        </w:tc>
        <w:tc>
          <w:tcPr>
            <w:tcW w:w="7966" w:type="dxa"/>
            <w:gridSpan w:val="4"/>
            <w:vAlign w:val="center"/>
          </w:tcPr>
          <w:p>
            <w:pPr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1.通过举办足球竞赛、推行培训活动、开展足球宣传交流工作、实施足球支教项目、提供足球专业技术支持；</w:t>
            </w:r>
          </w:p>
          <w:p>
            <w:pPr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2.推进梅州足球青苗青训工程，构建现代化足球管理体制，优化足球专业人才培育体系，完善全省足球竞赛制度；</w:t>
            </w:r>
          </w:p>
          <w:p>
            <w:pPr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3.扩增足球场地设施，持续满足民众对足球运动的需求，营造全社会关注和支持足球发展的积极氛围。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1" w:type="dxa"/>
            <w:vMerge w:val="restart"/>
            <w:shd w:val="clear" w:color="auto" w:fill="DBEEF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绩效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指标</w:t>
            </w: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一级指标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二级指标</w:t>
            </w:r>
          </w:p>
        </w:tc>
        <w:tc>
          <w:tcPr>
            <w:tcW w:w="382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三级指标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年度目标值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1" w:type="dxa"/>
            <w:vMerge w:val="continue"/>
            <w:shd w:val="clear" w:color="auto" w:fill="DBEEF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843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产出指标</w:t>
            </w:r>
          </w:p>
        </w:tc>
        <w:tc>
          <w:tcPr>
            <w:tcW w:w="1338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数量指标</w:t>
            </w:r>
          </w:p>
        </w:tc>
        <w:tc>
          <w:tcPr>
            <w:tcW w:w="3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培养专业人才人数（人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）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≥100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1" w:type="dxa"/>
            <w:vMerge w:val="continue"/>
            <w:shd w:val="clear" w:color="auto" w:fill="DBEEF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3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举办体育赛事次数（次）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≥900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1" w:type="dxa"/>
            <w:vMerge w:val="continue"/>
            <w:shd w:val="clear" w:color="auto" w:fill="DBEEF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3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培训教练员人次（人）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≥200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1" w:type="dxa"/>
            <w:vMerge w:val="continue"/>
            <w:shd w:val="clear" w:color="auto" w:fill="DBEEF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3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培养青少年球员人数（个）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≥2500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1" w:type="dxa"/>
            <w:vMerge w:val="continue"/>
            <w:shd w:val="clear" w:color="auto" w:fill="DBEEF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38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质量指标</w:t>
            </w:r>
          </w:p>
        </w:tc>
        <w:tc>
          <w:tcPr>
            <w:tcW w:w="3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赛风赛纪和兴奋剂事件出现次数（次）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1" w:type="dxa"/>
            <w:vMerge w:val="continue"/>
            <w:shd w:val="clear" w:color="auto" w:fill="DBEEF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3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责任范围内安全事故发生事件控制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1" w:type="dxa"/>
            <w:vMerge w:val="continue"/>
            <w:shd w:val="clear" w:color="auto" w:fill="DBEEF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3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体育赛事举办时间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按照年度工作计划完成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1" w:type="dxa"/>
            <w:vMerge w:val="continue"/>
            <w:shd w:val="clear" w:color="auto" w:fill="DBEEF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成本指标</w:t>
            </w:r>
          </w:p>
        </w:tc>
        <w:tc>
          <w:tcPr>
            <w:tcW w:w="3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培训经费标准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符合省级相关标准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1" w:type="dxa"/>
            <w:vMerge w:val="continue"/>
            <w:shd w:val="clear" w:color="auto" w:fill="DBEEF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843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效益指标</w:t>
            </w:r>
          </w:p>
        </w:tc>
        <w:tc>
          <w:tcPr>
            <w:tcW w:w="1338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社会效益</w:t>
            </w:r>
          </w:p>
        </w:tc>
        <w:tc>
          <w:tcPr>
            <w:tcW w:w="3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粉丝关注量同比增长率（自媒体微信公众号）（%）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≥20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1" w:type="dxa"/>
            <w:vMerge w:val="continue"/>
            <w:shd w:val="clear" w:color="auto" w:fill="DBEEF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3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受惠群众人数（含播放观众数）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（人次）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≥100000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1" w:type="dxa"/>
            <w:vMerge w:val="continue"/>
            <w:shd w:val="clear" w:color="auto" w:fill="DBEEF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3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参加社会足球赛事人数（人次）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≥2000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1" w:type="dxa"/>
            <w:vMerge w:val="continue"/>
            <w:shd w:val="clear" w:color="auto" w:fill="DBEEF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3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媒体报道数量（篇）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≥900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1" w:type="dxa"/>
            <w:vMerge w:val="continue"/>
            <w:shd w:val="clear" w:color="auto" w:fill="DBEEF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38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服务对象满意度</w:t>
            </w:r>
          </w:p>
        </w:tc>
        <w:tc>
          <w:tcPr>
            <w:tcW w:w="3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受训学员满意度（%）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≥85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1" w:type="dxa"/>
            <w:vMerge w:val="continue"/>
            <w:shd w:val="clear" w:color="auto" w:fill="DBEEF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3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参与赛事运动员满意度（%）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≥85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640" w:firstLineChars="200"/>
        <w:textAlignment w:val="auto"/>
        <w:outlineLvl w:val="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2" w:firstLineChars="200"/>
        <w:textAlignment w:val="auto"/>
        <w:outlineLvl w:val="1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（一）自评结论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广东省财政厅关于开展2024年省级财政资金绩效自评工作的通知》的要求，按照项目绩效自评信息指标评分表的具体标准，体育改革与发展项目自评分别从过程、产出、效益三个维度，采取定性与定量分析相结合的评价方法，按各个政策任务拨付资金额权重（体育工作专项27%、足球改革经费73%）进行自评。体育改革与发展项目绩效目标完成情况良好，绩效指标达到预期。</w:t>
      </w:r>
      <w:r>
        <w:rPr>
          <w:rFonts w:hint="eastAsia" w:ascii="仿宋_GB2312" w:hAnsi="宋体" w:eastAsia="仿宋_GB2312"/>
          <w:sz w:val="32"/>
          <w:szCs w:val="32"/>
        </w:rPr>
        <w:t>经梳理，</w:t>
      </w:r>
      <w:r>
        <w:rPr>
          <w:rFonts w:hint="eastAsia" w:ascii="仿宋_GB2312" w:eastAsia="仿宋_GB2312"/>
          <w:sz w:val="32"/>
          <w:szCs w:val="32"/>
        </w:rPr>
        <w:t>“体育改革与发展项目”</w:t>
      </w:r>
      <w:r>
        <w:rPr>
          <w:rFonts w:hint="eastAsia" w:ascii="仿宋_GB2312" w:hAnsi="宋体" w:eastAsia="仿宋_GB2312"/>
          <w:sz w:val="32"/>
          <w:szCs w:val="32"/>
        </w:rPr>
        <w:t>绩效指标得分为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90.</w:t>
      </w: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51</w:t>
      </w:r>
      <w:r>
        <w:rPr>
          <w:rFonts w:hint="eastAsia" w:ascii="仿宋_GB2312" w:hAnsi="宋体" w:eastAsia="仿宋_GB2312"/>
          <w:sz w:val="32"/>
          <w:szCs w:val="32"/>
        </w:rPr>
        <w:t>分，自评等级为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“优”</w:t>
      </w:r>
      <w:r>
        <w:rPr>
          <w:rFonts w:hint="eastAsia" w:ascii="仿宋_GB2312" w:hAnsi="宋体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该项目一级指标得分情况见表2-1所示。</w:t>
      </w:r>
    </w:p>
    <w:p>
      <w:pPr>
        <w:spacing w:line="360" w:lineRule="auto"/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表2-1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</w:rPr>
        <w:t>项目一级指标得分情况表</w:t>
      </w:r>
    </w:p>
    <w:tbl>
      <w:tblPr>
        <w:tblStyle w:val="11"/>
        <w:tblW w:w="86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234"/>
        <w:gridCol w:w="1679"/>
        <w:gridCol w:w="1679"/>
        <w:gridCol w:w="1381"/>
        <w:gridCol w:w="1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1" w:type="dxa"/>
            <w:shd w:val="clear" w:color="auto" w:fill="DBEEF3" w:themeFill="accent5" w:themeFillTint="3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一级指标</w:t>
            </w:r>
          </w:p>
        </w:tc>
        <w:tc>
          <w:tcPr>
            <w:tcW w:w="1270" w:type="dxa"/>
            <w:shd w:val="clear" w:color="auto" w:fill="DBEEF3" w:themeFill="accent5" w:themeFillTint="3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分值</w:t>
            </w:r>
          </w:p>
        </w:tc>
        <w:tc>
          <w:tcPr>
            <w:tcW w:w="1731" w:type="dxa"/>
            <w:shd w:val="clear" w:color="auto" w:fill="DBEEF3" w:themeFill="accent5" w:themeFillTint="3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体育工作专项</w:t>
            </w:r>
          </w:p>
        </w:tc>
        <w:tc>
          <w:tcPr>
            <w:tcW w:w="1731" w:type="dxa"/>
            <w:shd w:val="clear" w:color="auto" w:fill="DBEEF3" w:themeFill="accent5" w:themeFillTint="3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足球改革经费</w:t>
            </w:r>
          </w:p>
        </w:tc>
        <w:tc>
          <w:tcPr>
            <w:tcW w:w="1423" w:type="dxa"/>
            <w:shd w:val="clear" w:color="auto" w:fill="DBEEF3" w:themeFill="accent5" w:themeFillTint="3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综合得分</w:t>
            </w:r>
          </w:p>
        </w:tc>
        <w:tc>
          <w:tcPr>
            <w:tcW w:w="1423" w:type="dxa"/>
            <w:shd w:val="clear" w:color="auto" w:fill="DBEEF3" w:themeFill="accent5" w:themeFillTint="3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得分率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过程</w:t>
            </w:r>
          </w:p>
        </w:tc>
        <w:tc>
          <w:tcPr>
            <w:tcW w:w="127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20</w:t>
            </w:r>
          </w:p>
        </w:tc>
        <w:tc>
          <w:tcPr>
            <w:tcW w:w="173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14.17</w:t>
            </w:r>
          </w:p>
        </w:tc>
        <w:tc>
          <w:tcPr>
            <w:tcW w:w="173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9.17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10.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52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2.6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产出</w:t>
            </w:r>
          </w:p>
        </w:tc>
        <w:tc>
          <w:tcPr>
            <w:tcW w:w="127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40</w:t>
            </w:r>
          </w:p>
        </w:tc>
        <w:tc>
          <w:tcPr>
            <w:tcW w:w="173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39.95</w:t>
            </w:r>
          </w:p>
        </w:tc>
        <w:tc>
          <w:tcPr>
            <w:tcW w:w="173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40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39.99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99.9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效益</w:t>
            </w:r>
          </w:p>
        </w:tc>
        <w:tc>
          <w:tcPr>
            <w:tcW w:w="127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40</w:t>
            </w:r>
          </w:p>
        </w:tc>
        <w:tc>
          <w:tcPr>
            <w:tcW w:w="173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73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40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40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1" w:type="dxa"/>
            <w:shd w:val="clear" w:color="auto" w:fill="DBEEF3" w:themeFill="accent5" w:themeFillTint="3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合计</w:t>
            </w:r>
          </w:p>
        </w:tc>
        <w:tc>
          <w:tcPr>
            <w:tcW w:w="1270" w:type="dxa"/>
            <w:shd w:val="clear" w:color="auto" w:fill="DBEEF3" w:themeFill="accent5" w:themeFillTint="3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100</w:t>
            </w:r>
          </w:p>
        </w:tc>
        <w:tc>
          <w:tcPr>
            <w:tcW w:w="1731" w:type="dxa"/>
            <w:shd w:val="clear" w:color="auto" w:fill="DBEEF3" w:themeFill="accent5" w:themeFillTint="32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94.12</w:t>
            </w:r>
          </w:p>
        </w:tc>
        <w:tc>
          <w:tcPr>
            <w:tcW w:w="1731" w:type="dxa"/>
            <w:shd w:val="clear" w:color="auto" w:fill="DBEEF3" w:themeFill="accent5" w:themeFillTint="3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  <w:lang w:val="en-US" w:eastAsia="zh-CN" w:bidi="ar"/>
              </w:rPr>
              <w:t>89.17</w:t>
            </w:r>
          </w:p>
        </w:tc>
        <w:tc>
          <w:tcPr>
            <w:tcW w:w="1423" w:type="dxa"/>
            <w:shd w:val="clear" w:color="auto" w:fill="DBEEF3" w:themeFill="accent5" w:themeFillTint="3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90.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  <w:lang w:val="en-US" w:eastAsia="zh-CN" w:bidi="ar"/>
              </w:rPr>
              <w:t>51</w:t>
            </w:r>
          </w:p>
        </w:tc>
        <w:tc>
          <w:tcPr>
            <w:tcW w:w="1423" w:type="dxa"/>
            <w:shd w:val="clear" w:color="auto" w:fill="DBEEF3" w:themeFill="accent5" w:themeFillTint="32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90.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51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%</w:t>
            </w:r>
          </w:p>
        </w:tc>
      </w:tr>
    </w:tbl>
    <w:p>
      <w:pPr>
        <w:spacing w:before="156" w:beforeLines="50" w:line="360" w:lineRule="auto"/>
        <w:ind w:firstLine="642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（二）专项资金使用绩效</w:t>
      </w:r>
    </w:p>
    <w:p>
      <w:pPr>
        <w:spacing w:line="360" w:lineRule="auto"/>
        <w:ind w:firstLine="642" w:firstLineChars="200"/>
        <w:outlineLvl w:val="2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1.专项资金支出情况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体育改革与发展项目共投入资金8,523万元，截至2023年12月31日，共支出1,771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.24</w:t>
      </w:r>
      <w:r>
        <w:rPr>
          <w:rFonts w:hint="eastAsia" w:ascii="仿宋_GB2312" w:hAnsi="宋体" w:eastAsia="仿宋_GB2312"/>
          <w:kern w:val="0"/>
          <w:sz w:val="32"/>
          <w:szCs w:val="32"/>
        </w:rPr>
        <w:t>万元，预算执行率为21%。</w:t>
      </w:r>
      <w:r>
        <w:rPr>
          <w:rFonts w:hint="eastAsia" w:ascii="仿宋_GB2312" w:eastAsia="仿宋_GB2312"/>
          <w:sz w:val="32"/>
          <w:szCs w:val="32"/>
        </w:rPr>
        <w:t>两个政策任务的支出率分别是：体育工作专项51.38%、足球改革经费9.74%，总支出率为2</w:t>
      </w:r>
      <w:r>
        <w:rPr>
          <w:rFonts w:hint="eastAsia" w:ascii="仿宋_GB2312" w:eastAsia="仿宋_GB2312"/>
          <w:sz w:val="32"/>
          <w:szCs w:val="32"/>
          <w:highlight w:val="none"/>
        </w:rPr>
        <w:t>1%。资金支出率未达100%的主要原因一是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部分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转移支付</w:t>
      </w:r>
      <w:r>
        <w:rPr>
          <w:rFonts w:hint="eastAsia" w:ascii="仿宋_GB2312" w:hAnsi="宋体" w:eastAsia="仿宋_GB2312"/>
          <w:kern w:val="0"/>
          <w:sz w:val="32"/>
          <w:szCs w:val="32"/>
        </w:rPr>
        <w:t>资金到位时间较晚</w:t>
      </w:r>
      <w:r>
        <w:rPr>
          <w:rFonts w:hint="eastAsia" w:ascii="仿宋_GB2312" w:eastAsia="仿宋_GB2312"/>
          <w:sz w:val="32"/>
          <w:szCs w:val="32"/>
          <w:highlight w:val="none"/>
        </w:rPr>
        <w:t>，项目完成（完工）未能及时支付；二是部分项目尚在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highlight w:val="none"/>
        </w:rPr>
        <w:t>合同执行阶段，根据合同约定，需按项目进度分期支付，部分进度款和尾款尚未支付。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ind w:firstLine="642" w:firstLineChars="200"/>
        <w:textAlignment w:val="auto"/>
        <w:outlineLvl w:val="2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2.专项资金完成绩效目标情况。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2" w:firstLineChars="200"/>
        <w:textAlignment w:val="auto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（1）年度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预期总体</w:t>
      </w:r>
      <w:r>
        <w:rPr>
          <w:rFonts w:hint="eastAsia" w:ascii="仿宋_GB2312" w:eastAsia="仿宋_GB2312"/>
          <w:b/>
          <w:bCs/>
          <w:sz w:val="32"/>
          <w:szCs w:val="32"/>
        </w:rPr>
        <w:t>目标完成情况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截至2023年12月31日，体育改革与发展项目年度绩效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总体</w:t>
      </w:r>
      <w:r>
        <w:rPr>
          <w:rFonts w:hint="eastAsia" w:ascii="仿宋_GB2312" w:eastAsia="仿宋_GB2312"/>
          <w:sz w:val="32"/>
          <w:szCs w:val="32"/>
        </w:rPr>
        <w:t>目标完成情况良好，各项年度预期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总体</w:t>
      </w:r>
      <w:r>
        <w:rPr>
          <w:rFonts w:hint="eastAsia" w:ascii="仿宋_GB2312" w:eastAsia="仿宋_GB2312"/>
          <w:sz w:val="32"/>
          <w:szCs w:val="32"/>
        </w:rPr>
        <w:t>目标均已完成。具体的项目年度</w:t>
      </w:r>
      <w:r>
        <w:rPr>
          <w:rFonts w:hint="eastAsia" w:ascii="仿宋_GB2312" w:eastAsia="仿宋_GB2312"/>
          <w:sz w:val="32"/>
          <w:szCs w:val="32"/>
          <w:lang w:eastAsia="zh-CN"/>
        </w:rPr>
        <w:t>预期总体</w:t>
      </w:r>
      <w:r>
        <w:rPr>
          <w:rFonts w:hint="eastAsia" w:ascii="仿宋_GB2312" w:eastAsia="仿宋_GB2312"/>
          <w:sz w:val="32"/>
          <w:szCs w:val="32"/>
        </w:rPr>
        <w:t>目标完成情况见表2-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所示。</w:t>
      </w:r>
    </w:p>
    <w:p>
      <w:pPr>
        <w:jc w:val="center"/>
        <w:rPr>
          <w:rFonts w:ascii="黑体" w:hAnsi="黑体" w:eastAsia="黑体" w:cs="宋体"/>
          <w:sz w:val="28"/>
          <w:szCs w:val="32"/>
        </w:rPr>
      </w:pPr>
      <w:r>
        <w:rPr>
          <w:rFonts w:hint="eastAsia" w:ascii="黑体" w:hAnsi="黑体" w:eastAsia="黑体" w:cs="宋体"/>
          <w:sz w:val="28"/>
          <w:szCs w:val="32"/>
        </w:rPr>
        <w:t>表2-</w:t>
      </w:r>
      <w:r>
        <w:rPr>
          <w:rFonts w:hint="eastAsia" w:ascii="黑体" w:hAnsi="黑体" w:eastAsia="黑体" w:cs="宋体"/>
          <w:sz w:val="28"/>
          <w:szCs w:val="32"/>
          <w:lang w:val="en-US" w:eastAsia="zh-CN"/>
        </w:rPr>
        <w:t xml:space="preserve">3 </w:t>
      </w:r>
      <w:r>
        <w:rPr>
          <w:rFonts w:hint="eastAsia" w:ascii="黑体" w:hAnsi="黑体" w:eastAsia="黑体" w:cs="宋体"/>
          <w:sz w:val="28"/>
          <w:szCs w:val="32"/>
        </w:rPr>
        <w:t>项目年度</w:t>
      </w:r>
      <w:r>
        <w:rPr>
          <w:rFonts w:hint="eastAsia" w:ascii="黑体" w:hAnsi="黑体" w:eastAsia="黑体" w:cs="宋体"/>
          <w:sz w:val="28"/>
          <w:szCs w:val="32"/>
          <w:lang w:eastAsia="zh-CN"/>
        </w:rPr>
        <w:t>预期总体</w:t>
      </w:r>
      <w:r>
        <w:rPr>
          <w:rFonts w:hint="eastAsia" w:ascii="黑体" w:hAnsi="黑体" w:eastAsia="黑体" w:cs="宋体"/>
          <w:sz w:val="28"/>
          <w:szCs w:val="32"/>
        </w:rPr>
        <w:t>目标完成情况表</w:t>
      </w:r>
    </w:p>
    <w:tbl>
      <w:tblPr>
        <w:tblStyle w:val="12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2843"/>
        <w:gridCol w:w="4570"/>
        <w:gridCol w:w="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761" w:type="dxa"/>
            <w:shd w:val="clear" w:color="auto" w:fill="DBEEF3" w:themeFill="accent5" w:themeFillTint="3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1"/>
                <w:sz w:val="24"/>
              </w:rPr>
              <w:t>政策任务</w:t>
            </w:r>
          </w:p>
        </w:tc>
        <w:tc>
          <w:tcPr>
            <w:tcW w:w="2843" w:type="dxa"/>
            <w:shd w:val="clear" w:color="auto" w:fill="DBEEF3" w:themeFill="accent5" w:themeFillTint="3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年度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预期总体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目标</w:t>
            </w:r>
          </w:p>
        </w:tc>
        <w:tc>
          <w:tcPr>
            <w:tcW w:w="4570" w:type="dxa"/>
            <w:shd w:val="clear" w:color="auto" w:fill="DBEEF3" w:themeFill="accent5" w:themeFillTint="3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实际完成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情况</w:t>
            </w:r>
          </w:p>
        </w:tc>
        <w:tc>
          <w:tcPr>
            <w:tcW w:w="670" w:type="dxa"/>
            <w:shd w:val="clear" w:color="auto" w:fill="DBEEF3" w:themeFill="accent5" w:themeFillTint="3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/>
              <w:jc w:val="center"/>
              <w:textAlignment w:val="auto"/>
              <w:rPr>
                <w:rFonts w:ascii="仿宋_GB2312" w:hAnsi="仿宋_GB2312" w:eastAsia="仿宋_GB2312" w:cs="仿宋_GB2312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</w:rPr>
              <w:t>体育工作专项</w:t>
            </w:r>
          </w:p>
        </w:tc>
        <w:tc>
          <w:tcPr>
            <w:tcW w:w="2843" w:type="dxa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进一步完善体育产业名录库建设，保持体育产业信息平台运行稳定，体育产业大数据初步形成；完成年度体育产业统计核算，试点开展居民体育消费调查，编制体育产业报告，全面掌握全省体育产业发展状况；深入研究体育产业、体育标准化、体育计量等相关政策，优化体育产业制度环境；积极开展年度国家和省级体育产业示范基地的评选与培育，强化产业示范效应；定期举办广东国际体博会和广东体育产业发展论坛，构建产业交流和贸易平台；组织开展体育产业干部培训和体育产业统计培训，不断提高产业人才队伍的业务素养。</w:t>
            </w:r>
          </w:p>
        </w:tc>
        <w:tc>
          <w:tcPr>
            <w:tcW w:w="4570" w:type="dxa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一是建设体育产业发展平台与载体，组织筹备并完成广东国际体育用品博览会、粤港澳国际体育用品博览会及广东体育产业峰会，聚焦行业前沿，加强交流，推动形成品牌影响力平台。指导深圳国家体育消费试点城市建设，创新产业政策、消费机制、模式和服务产品，取得显著成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二是加强体育产业工作示范引领，完成年度省体育产业示范基地、单位、项目调研评审，评选出示范单位与项目，培育市场主体，引领产业发展。组织国家体育产业示范基地、单位、项目申报，梅州市五华县等入选国家体育产业示范基地或单位。共有17个项目入选“2022年度智能体育典型案例”，五个类别均有上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三是促进体育产业工作联动融合，加强与兄弟省份合作，举办推介会，签订合作框架协议，深化互补合作，开拓体育市场。会同省文旅厅推荐申报国家体育旅游示范基地，广东有四个项目入选中国体育旅游精品项目。参与第十八届“中博会”接待工作并获认可。</w:t>
            </w:r>
          </w:p>
        </w:tc>
        <w:tc>
          <w:tcPr>
            <w:tcW w:w="67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1" w:type="dxa"/>
            <w:vMerge w:val="continu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3" w:type="dxa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维护省体育局网站、两微一端等宣传平台，及时发布体育相关信息，每月及重大事件提供舆情监控报告；构建媒体矩阵，形成涵盖电视、网络、新媒体等多渠道的立体宣传平台，与国家级、省级媒体合作，开设专栏，全年发稿量达到1000篇以上；针对工作热点和重大需求，制作全民健身指导专题视频等宣传片，开展系列体育宣传活动。另外，通过李惠堂旧居展馆足球文化宣传展示，进一步提高我县足球的社会关注度和影响力，营造群众积极参与的足球发展良好氛围。</w:t>
            </w:r>
          </w:p>
        </w:tc>
        <w:tc>
          <w:tcPr>
            <w:tcW w:w="4570" w:type="dxa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宣传平台建设维护（网站、两微一端）、舆情监控服务；在中新社、新华社、凤凰网开设专栏等媒体合作开展专栏。着力阵地布局，与凤凰网、南粤之声、南方网、大湾区卫视紧密合作，发挥其覆盖粤港澳三地，辐射世界华人圈，贯通“一带一路”的平台优势，面向国际传播广东体育好声音，开设广东体育频道PC端专题，设置广东体育专题、专栏，聚焦广东体育事业，及时报道广东体育发展动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加大了省局官网、PC端的新闻宣传更新督导，积极组织稿件支撑群众关注焦点，提升为民服务能力，《阳康后健身》《无痛锻炼》等热门短视频一经推出，获得社会好评。截至12月13日，2023年省局各平台共发稿6374篇，引导全网共约12800家传播机构发布约850000篇与广东体育相关的报道，广东省体育局南方号多次获得“影响力”奖，广东体育宣传传播力、影响力得到巩固，以广东体育好故事为主流的正能量发挥了积极的社会宣传作用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/>
              <w:jc w:val="both"/>
              <w:textAlignment w:val="auto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另外，通过李惠堂旧居展馆足球文化宣传展示，进一步提高足球的社会关注度和影响力，营造群众积极参与的足球发展良好氛围。</w:t>
            </w:r>
          </w:p>
        </w:tc>
        <w:tc>
          <w:tcPr>
            <w:tcW w:w="67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1" w:type="dxa"/>
            <w:vMerge w:val="continu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3" w:type="dxa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稳步推动省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体育局科研课题项目，完成2023年度专业技术人员继续教育培训，提升我省体育科研人员的研究和实践能力；推进广东省体育科技协同创新中心建设，力争将我省体育科技水平提升至全国前列；支持苏炳添速度研究与训练中心建设，强化中心人员、设备、技术保障；组织召开全省反兴奋剂工作会议，确保新周期训练备战的反兴奋剂工作顺利进行。</w:t>
            </w:r>
          </w:p>
        </w:tc>
        <w:tc>
          <w:tcPr>
            <w:tcW w:w="4570" w:type="dxa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一是与暨南大学共建的苏炳添速度研究与训练中心（以下简称“苏中心”）获批广东省速度能力研究重点实验室，举办了“速度能力研究论坛”，筹办设立“速度能力研究联合交叉项目基金”和建设“科学化健身与训练科普基地”。二是对目前的血液生化、机能指标以及心理等多项指标的测试结果进行汇总分析，结合运动员运动负荷监控、肌骨超声和伤病筛查、中医经络外治和物理治疗、营养干预、睡眠和体制评估等手段，建立完善运动员疲劳监控和促恢复，助力省队运动员备战全运会，并逐步推广和应用于大众健身相关领域。三是创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新形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式在全国率先开展运动防护师岗位培训，紧密结合实际训练与运动伤害防护一线实践，升华专业理论、提升实践能力。四是推进20项科技创新和体育文化发展科研项目重点项目的开展工作；2月24日，召开兴奋剂检查官年度工作座谈会，总结省运会的兴奋剂检查任务完成情况。</w:t>
            </w:r>
          </w:p>
        </w:tc>
        <w:tc>
          <w:tcPr>
            <w:tcW w:w="67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/>
              <w:jc w:val="center"/>
              <w:textAlignment w:val="auto"/>
              <w:rPr>
                <w:rFonts w:ascii="仿宋_GB2312" w:hAnsi="仿宋_GB2312" w:eastAsia="仿宋_GB2312" w:cs="仿宋_GB2312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</w:rPr>
              <w:t>足球改革经费</w:t>
            </w:r>
          </w:p>
        </w:tc>
        <w:tc>
          <w:tcPr>
            <w:tcW w:w="2843" w:type="dxa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1.通过举办足球竞赛、推行培训活动、开展足球宣传交流工作</w:t>
            </w:r>
          </w:p>
        </w:tc>
        <w:tc>
          <w:tcPr>
            <w:tcW w:w="4570" w:type="dxa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举办足球竞赛、推行培训活动、开展足球宣传交流工作，例如8月25日至27日在暨南大学邵逸夫体育馆举行的粤港澳大湾区青年足球交流赛，吸引了来自香港、澳门及珠三角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9个地市的16支球队，共计200多名青年球员参与。这些活动不仅展现了广东省在青少年足球领域的活跃度，也为粤港澳三地的青少年提供了一个展示才华和增进了解的平台。通过此类交流活动，有助于推动区域内的文化融合和社会发展。</w:t>
            </w:r>
          </w:p>
        </w:tc>
        <w:tc>
          <w:tcPr>
            <w:tcW w:w="67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1" w:type="dxa"/>
            <w:vMerge w:val="continu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3" w:type="dxa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2.实施足球支教项目、提供足球专业技术支持、推进梅州足球青苗青训工程，构建现代化足球管理体制，优化足球专业人才培育体系，完善全省足球竞赛制度</w:t>
            </w:r>
          </w:p>
        </w:tc>
        <w:tc>
          <w:tcPr>
            <w:tcW w:w="4570" w:type="dxa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进一步突出“梅州青训”品牌建设，深化体教融合，夯实学校体育基础，不断完善竞技体育青训体系，创新训练理念和方法，全面提升训练的科学性、针对性、有效性；加强基层体育教师和教练员队伍建设，着力构建大教育、大体育工作格局，进一步统筹优化资源配置，凝聚各方力量，发掘、培养、输送更多优秀体育后备人才，补齐足球专业人才队伍短板。</w:t>
            </w:r>
          </w:p>
        </w:tc>
        <w:tc>
          <w:tcPr>
            <w:tcW w:w="67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1" w:type="dxa"/>
            <w:vMerge w:val="continu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3" w:type="dxa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3.扩增足球场地设施，持续满足民众对足球运动的需求，营造全社会关注和支持足球发展的积极氛围。</w:t>
            </w:r>
          </w:p>
        </w:tc>
        <w:tc>
          <w:tcPr>
            <w:tcW w:w="4570" w:type="dxa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充分发挥体育场地设施的作用，优化足球场地资源，多样化体育赛事活动，如推动校园阳光体育运动，让更多学校及学生积极参与青少年体育运动，激发青少年体育锻炼兴趣，持续满足公众对足球运动的需求，营造全社会关注和支持足球发展的良好氛围。</w:t>
            </w:r>
          </w:p>
        </w:tc>
        <w:tc>
          <w:tcPr>
            <w:tcW w:w="67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完成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642" w:firstLineChars="200"/>
        <w:textAlignment w:val="auto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（2）绩效产出、效益指标完成情况</w:t>
      </w:r>
    </w:p>
    <w:p>
      <w:pPr>
        <w:adjustRightIn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2023年度，项目绩效产出、效益指标完成情况良好，各项指标全部达到年度预期值。具体的项目各政策任务的绩效产出、效益指标完成情况表见表2-4所示。该项目产出、效益指标得分情况见附件1所示。</w:t>
      </w:r>
    </w:p>
    <w:p>
      <w:pPr>
        <w:jc w:val="center"/>
        <w:rPr>
          <w:rFonts w:ascii="黑体" w:hAnsi="黑体" w:eastAsia="黑体" w:cs="宋体"/>
          <w:sz w:val="28"/>
          <w:szCs w:val="32"/>
        </w:rPr>
      </w:pPr>
      <w:r>
        <w:rPr>
          <w:rFonts w:hint="eastAsia" w:ascii="黑体" w:hAnsi="黑体" w:eastAsia="黑体" w:cs="宋体"/>
          <w:sz w:val="28"/>
          <w:szCs w:val="32"/>
        </w:rPr>
        <w:t>表2-4 项目指标完成情况表</w:t>
      </w:r>
    </w:p>
    <w:tbl>
      <w:tblPr>
        <w:tblStyle w:val="11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776"/>
        <w:gridCol w:w="681"/>
        <w:gridCol w:w="2809"/>
        <w:gridCol w:w="1506"/>
        <w:gridCol w:w="1510"/>
        <w:gridCol w:w="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6" w:type="dxa"/>
            <w:shd w:val="clear" w:color="auto" w:fill="DBEEF3" w:themeFill="accent5" w:themeFillTint="3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政策任务</w:t>
            </w:r>
          </w:p>
        </w:tc>
        <w:tc>
          <w:tcPr>
            <w:tcW w:w="776" w:type="dxa"/>
            <w:shd w:val="clear" w:color="auto" w:fill="DBEEF3" w:themeFill="accent5" w:themeFillTint="3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一级指标</w:t>
            </w:r>
          </w:p>
        </w:tc>
        <w:tc>
          <w:tcPr>
            <w:tcW w:w="681" w:type="dxa"/>
            <w:shd w:val="clear" w:color="auto" w:fill="DBEEF3" w:themeFill="accent5" w:themeFillTint="3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二级指标</w:t>
            </w:r>
          </w:p>
        </w:tc>
        <w:tc>
          <w:tcPr>
            <w:tcW w:w="2809" w:type="dxa"/>
            <w:shd w:val="clear" w:color="auto" w:fill="DBEEF3" w:themeFill="accent5" w:themeFillTint="3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三级指标</w:t>
            </w:r>
          </w:p>
        </w:tc>
        <w:tc>
          <w:tcPr>
            <w:tcW w:w="1506" w:type="dxa"/>
            <w:shd w:val="clear" w:color="auto" w:fill="DBEEF3" w:themeFill="accent5" w:themeFillTint="3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预期值</w:t>
            </w:r>
          </w:p>
        </w:tc>
        <w:tc>
          <w:tcPr>
            <w:tcW w:w="1510" w:type="dxa"/>
            <w:shd w:val="clear" w:color="auto" w:fill="DBEEF3" w:themeFill="accent5" w:themeFillTint="3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实现值</w:t>
            </w:r>
          </w:p>
        </w:tc>
        <w:tc>
          <w:tcPr>
            <w:tcW w:w="836" w:type="dxa"/>
            <w:shd w:val="clear" w:color="auto" w:fill="DBEEF3" w:themeFill="accent5" w:themeFillTint="3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6" w:type="dxa"/>
            <w:vMerge w:val="restar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体育工作专项</w:t>
            </w:r>
          </w:p>
        </w:tc>
        <w:tc>
          <w:tcPr>
            <w:tcW w:w="776" w:type="dxa"/>
            <w:vMerge w:val="restar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产出指标</w:t>
            </w:r>
          </w:p>
        </w:tc>
        <w:tc>
          <w:tcPr>
            <w:tcW w:w="681" w:type="dxa"/>
            <w:vMerge w:val="restar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数量指标</w:t>
            </w:r>
          </w:p>
        </w:tc>
        <w:tc>
          <w:tcPr>
            <w:tcW w:w="2809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报道次数（次）</w:t>
            </w:r>
          </w:p>
        </w:tc>
        <w:tc>
          <w:tcPr>
            <w:tcW w:w="150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≥1016</w:t>
            </w:r>
          </w:p>
        </w:tc>
        <w:tc>
          <w:tcPr>
            <w:tcW w:w="1510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1596</w:t>
            </w:r>
          </w:p>
        </w:tc>
        <w:tc>
          <w:tcPr>
            <w:tcW w:w="83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6" w:type="dxa"/>
            <w:vMerge w:val="continue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76" w:type="dxa"/>
            <w:vMerge w:val="continue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81" w:type="dxa"/>
            <w:vMerge w:val="continue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09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组织培训次数（次）</w:t>
            </w:r>
          </w:p>
        </w:tc>
        <w:tc>
          <w:tcPr>
            <w:tcW w:w="150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≥1</w:t>
            </w:r>
          </w:p>
        </w:tc>
        <w:tc>
          <w:tcPr>
            <w:tcW w:w="1510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3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6" w:type="dxa"/>
            <w:vMerge w:val="continue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76" w:type="dxa"/>
            <w:vMerge w:val="continue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81" w:type="dxa"/>
            <w:vMerge w:val="continue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09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参加反兴奋剂教育人次（个）</w:t>
            </w:r>
          </w:p>
        </w:tc>
        <w:tc>
          <w:tcPr>
            <w:tcW w:w="150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≥1000</w:t>
            </w:r>
          </w:p>
        </w:tc>
        <w:tc>
          <w:tcPr>
            <w:tcW w:w="1510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1050</w:t>
            </w:r>
          </w:p>
        </w:tc>
        <w:tc>
          <w:tcPr>
            <w:tcW w:w="83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726" w:type="dxa"/>
            <w:vMerge w:val="continue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76" w:type="dxa"/>
            <w:vMerge w:val="continue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81" w:type="dxa"/>
            <w:vMerge w:val="continue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09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举办广东体育用品博览会（场次）</w:t>
            </w:r>
          </w:p>
        </w:tc>
        <w:tc>
          <w:tcPr>
            <w:tcW w:w="150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≥1</w:t>
            </w:r>
          </w:p>
        </w:tc>
        <w:tc>
          <w:tcPr>
            <w:tcW w:w="1510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3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6" w:type="dxa"/>
            <w:vMerge w:val="continue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76" w:type="dxa"/>
            <w:vMerge w:val="continue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81" w:type="dxa"/>
            <w:vMerge w:val="continue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09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开设专栏数量（报纸、电视媒体、网媒等）（个）</w:t>
            </w:r>
          </w:p>
        </w:tc>
        <w:tc>
          <w:tcPr>
            <w:tcW w:w="150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≥10</w:t>
            </w:r>
          </w:p>
        </w:tc>
        <w:tc>
          <w:tcPr>
            <w:tcW w:w="1510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83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6" w:type="dxa"/>
            <w:vMerge w:val="continue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76" w:type="dxa"/>
            <w:vMerge w:val="continue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81" w:type="dxa"/>
            <w:vMerge w:val="restar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质量指标</w:t>
            </w:r>
          </w:p>
        </w:tc>
        <w:tc>
          <w:tcPr>
            <w:tcW w:w="2809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培训出勤率（%）</w:t>
            </w:r>
          </w:p>
        </w:tc>
        <w:tc>
          <w:tcPr>
            <w:tcW w:w="150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510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98.86</w:t>
            </w:r>
          </w:p>
        </w:tc>
        <w:tc>
          <w:tcPr>
            <w:tcW w:w="83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6" w:type="dxa"/>
            <w:vMerge w:val="continue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76" w:type="dxa"/>
            <w:vMerge w:val="continue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81" w:type="dxa"/>
            <w:vMerge w:val="continue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09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微信公众平台发稿量（篇）</w:t>
            </w:r>
          </w:p>
        </w:tc>
        <w:tc>
          <w:tcPr>
            <w:tcW w:w="150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≥1000</w:t>
            </w:r>
          </w:p>
        </w:tc>
        <w:tc>
          <w:tcPr>
            <w:tcW w:w="1510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1064</w:t>
            </w:r>
          </w:p>
        </w:tc>
        <w:tc>
          <w:tcPr>
            <w:tcW w:w="83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6" w:type="dxa"/>
            <w:vMerge w:val="continue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76" w:type="dxa"/>
            <w:vMerge w:val="continue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81" w:type="dxa"/>
            <w:vMerge w:val="continue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09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调查工作验收合格率（%）</w:t>
            </w:r>
          </w:p>
        </w:tc>
        <w:tc>
          <w:tcPr>
            <w:tcW w:w="150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100%</w:t>
            </w:r>
          </w:p>
        </w:tc>
        <w:tc>
          <w:tcPr>
            <w:tcW w:w="1510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100%</w:t>
            </w:r>
          </w:p>
        </w:tc>
        <w:tc>
          <w:tcPr>
            <w:tcW w:w="83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6" w:type="dxa"/>
            <w:vMerge w:val="continue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76" w:type="dxa"/>
            <w:vMerge w:val="continue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81" w:type="dxa"/>
            <w:vMerge w:val="continue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09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宣传信息发布准确率（%）</w:t>
            </w:r>
          </w:p>
        </w:tc>
        <w:tc>
          <w:tcPr>
            <w:tcW w:w="150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100%</w:t>
            </w:r>
          </w:p>
        </w:tc>
        <w:tc>
          <w:tcPr>
            <w:tcW w:w="1510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100%</w:t>
            </w:r>
          </w:p>
        </w:tc>
        <w:tc>
          <w:tcPr>
            <w:tcW w:w="83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6" w:type="dxa"/>
            <w:vMerge w:val="continue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76" w:type="dxa"/>
            <w:vMerge w:val="continue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81" w:type="dxa"/>
            <w:vMerge w:val="continue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09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微信公众平台发稿频次（篇次/周）</w:t>
            </w:r>
          </w:p>
        </w:tc>
        <w:tc>
          <w:tcPr>
            <w:tcW w:w="150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510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83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26" w:type="dxa"/>
            <w:vMerge w:val="continue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76" w:type="dxa"/>
            <w:vMerge w:val="restar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效益指标</w:t>
            </w:r>
          </w:p>
        </w:tc>
        <w:tc>
          <w:tcPr>
            <w:tcW w:w="681" w:type="dxa"/>
            <w:vMerge w:val="restar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社会效益</w:t>
            </w:r>
          </w:p>
        </w:tc>
        <w:tc>
          <w:tcPr>
            <w:tcW w:w="2809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报道转发率（%）</w:t>
            </w:r>
          </w:p>
        </w:tc>
        <w:tc>
          <w:tcPr>
            <w:tcW w:w="150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510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83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6" w:type="dxa"/>
            <w:vMerge w:val="continue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76" w:type="dxa"/>
            <w:vMerge w:val="continue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81" w:type="dxa"/>
            <w:vMerge w:val="continue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09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为政府主管部门、社会投资主体提供信息支撑</w:t>
            </w:r>
          </w:p>
        </w:tc>
        <w:tc>
          <w:tcPr>
            <w:tcW w:w="150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每年发布一次</w:t>
            </w:r>
          </w:p>
        </w:tc>
        <w:tc>
          <w:tcPr>
            <w:tcW w:w="1510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每年发布一次</w:t>
            </w:r>
          </w:p>
        </w:tc>
        <w:tc>
          <w:tcPr>
            <w:tcW w:w="83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6" w:type="dxa"/>
            <w:vMerge w:val="continue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76" w:type="dxa"/>
            <w:vMerge w:val="continue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81" w:type="dxa"/>
            <w:vMerge w:val="restar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满意度</w:t>
            </w:r>
          </w:p>
        </w:tc>
        <w:tc>
          <w:tcPr>
            <w:tcW w:w="2809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群众满意度（%）</w:t>
            </w:r>
          </w:p>
        </w:tc>
        <w:tc>
          <w:tcPr>
            <w:tcW w:w="150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≥90</w:t>
            </w:r>
          </w:p>
        </w:tc>
        <w:tc>
          <w:tcPr>
            <w:tcW w:w="1510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90.36</w:t>
            </w:r>
          </w:p>
        </w:tc>
        <w:tc>
          <w:tcPr>
            <w:tcW w:w="83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6" w:type="dxa"/>
            <w:vMerge w:val="continue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76" w:type="dxa"/>
            <w:vMerge w:val="continue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81" w:type="dxa"/>
            <w:vMerge w:val="continue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09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参与活动人员满意度（%）</w:t>
            </w:r>
          </w:p>
        </w:tc>
        <w:tc>
          <w:tcPr>
            <w:tcW w:w="150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≥90</w:t>
            </w:r>
          </w:p>
        </w:tc>
        <w:tc>
          <w:tcPr>
            <w:tcW w:w="1510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92</w:t>
            </w:r>
          </w:p>
        </w:tc>
        <w:tc>
          <w:tcPr>
            <w:tcW w:w="83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6" w:type="dxa"/>
            <w:vMerge w:val="restar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足球改革经费</w:t>
            </w:r>
          </w:p>
        </w:tc>
        <w:tc>
          <w:tcPr>
            <w:tcW w:w="776" w:type="dxa"/>
            <w:vMerge w:val="restar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产出指标</w:t>
            </w:r>
          </w:p>
        </w:tc>
        <w:tc>
          <w:tcPr>
            <w:tcW w:w="681" w:type="dxa"/>
            <w:vMerge w:val="restar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数量指标</w:t>
            </w:r>
          </w:p>
        </w:tc>
        <w:tc>
          <w:tcPr>
            <w:tcW w:w="2809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培养专业人才人数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（人）</w:t>
            </w:r>
          </w:p>
        </w:tc>
        <w:tc>
          <w:tcPr>
            <w:tcW w:w="150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≥100</w:t>
            </w:r>
          </w:p>
        </w:tc>
        <w:tc>
          <w:tcPr>
            <w:tcW w:w="1510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160</w:t>
            </w:r>
          </w:p>
        </w:tc>
        <w:tc>
          <w:tcPr>
            <w:tcW w:w="83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6" w:type="dxa"/>
            <w:vMerge w:val="continue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76" w:type="dxa"/>
            <w:vMerge w:val="continue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81" w:type="dxa"/>
            <w:vMerge w:val="continue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09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举办体育赛事次数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（次）</w:t>
            </w:r>
          </w:p>
        </w:tc>
        <w:tc>
          <w:tcPr>
            <w:tcW w:w="150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≥900</w:t>
            </w:r>
          </w:p>
        </w:tc>
        <w:tc>
          <w:tcPr>
            <w:tcW w:w="1510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961</w:t>
            </w:r>
          </w:p>
        </w:tc>
        <w:tc>
          <w:tcPr>
            <w:tcW w:w="83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6" w:type="dxa"/>
            <w:vMerge w:val="continue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76" w:type="dxa"/>
            <w:vMerge w:val="continue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81" w:type="dxa"/>
            <w:vMerge w:val="continue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09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培训教练员人次（人）</w:t>
            </w:r>
          </w:p>
        </w:tc>
        <w:tc>
          <w:tcPr>
            <w:tcW w:w="150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≥200</w:t>
            </w:r>
          </w:p>
        </w:tc>
        <w:tc>
          <w:tcPr>
            <w:tcW w:w="1510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88</w:t>
            </w:r>
          </w:p>
        </w:tc>
        <w:tc>
          <w:tcPr>
            <w:tcW w:w="83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6" w:type="dxa"/>
            <w:vMerge w:val="continue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76" w:type="dxa"/>
            <w:vMerge w:val="continue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81" w:type="dxa"/>
            <w:vMerge w:val="continue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09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培养青少年球员人数</w:t>
            </w:r>
          </w:p>
        </w:tc>
        <w:tc>
          <w:tcPr>
            <w:tcW w:w="150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≥2500</w:t>
            </w:r>
          </w:p>
        </w:tc>
        <w:tc>
          <w:tcPr>
            <w:tcW w:w="1510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3041</w:t>
            </w:r>
          </w:p>
        </w:tc>
        <w:tc>
          <w:tcPr>
            <w:tcW w:w="83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6" w:type="dxa"/>
            <w:vMerge w:val="continue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76" w:type="dxa"/>
            <w:vMerge w:val="continue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81" w:type="dxa"/>
            <w:vMerge w:val="restar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质量指标</w:t>
            </w:r>
          </w:p>
        </w:tc>
        <w:tc>
          <w:tcPr>
            <w:tcW w:w="2809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赛风赛纪和兴奋剂事件出现次数（次）</w:t>
            </w:r>
          </w:p>
        </w:tc>
        <w:tc>
          <w:tcPr>
            <w:tcW w:w="150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10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83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6" w:type="dxa"/>
            <w:vMerge w:val="continue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76" w:type="dxa"/>
            <w:vMerge w:val="continue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81" w:type="dxa"/>
            <w:vMerge w:val="continue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09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责任范围内安全事故发生事件控制</w:t>
            </w:r>
          </w:p>
        </w:tc>
        <w:tc>
          <w:tcPr>
            <w:tcW w:w="150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10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83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6" w:type="dxa"/>
            <w:vMerge w:val="continue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76" w:type="dxa"/>
            <w:vMerge w:val="continue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81" w:type="dxa"/>
            <w:vMerge w:val="continue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09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体育赛事举办时间</w:t>
            </w:r>
          </w:p>
        </w:tc>
        <w:tc>
          <w:tcPr>
            <w:tcW w:w="150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按照年度工作计划完成</w:t>
            </w:r>
          </w:p>
        </w:tc>
        <w:tc>
          <w:tcPr>
            <w:tcW w:w="1510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2023年12月底前</w:t>
            </w:r>
          </w:p>
        </w:tc>
        <w:tc>
          <w:tcPr>
            <w:tcW w:w="83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6" w:type="dxa"/>
            <w:vMerge w:val="continue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76" w:type="dxa"/>
            <w:vMerge w:val="continue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8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成本指标</w:t>
            </w:r>
          </w:p>
        </w:tc>
        <w:tc>
          <w:tcPr>
            <w:tcW w:w="2809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培训经费标准</w:t>
            </w:r>
          </w:p>
        </w:tc>
        <w:tc>
          <w:tcPr>
            <w:tcW w:w="150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符合省级相关标准</w:t>
            </w:r>
          </w:p>
        </w:tc>
        <w:tc>
          <w:tcPr>
            <w:tcW w:w="1510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197元/人/天</w:t>
            </w:r>
          </w:p>
        </w:tc>
        <w:tc>
          <w:tcPr>
            <w:tcW w:w="83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6" w:type="dxa"/>
            <w:vMerge w:val="continue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76" w:type="dxa"/>
            <w:vMerge w:val="restar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效益指标</w:t>
            </w:r>
          </w:p>
        </w:tc>
        <w:tc>
          <w:tcPr>
            <w:tcW w:w="681" w:type="dxa"/>
            <w:vMerge w:val="restar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社会效益</w:t>
            </w:r>
          </w:p>
        </w:tc>
        <w:tc>
          <w:tcPr>
            <w:tcW w:w="2809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粉丝关注量同比增长率（自媒体微信公众号）（%）</w:t>
            </w:r>
          </w:p>
        </w:tc>
        <w:tc>
          <w:tcPr>
            <w:tcW w:w="150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≥20</w:t>
            </w:r>
          </w:p>
        </w:tc>
        <w:tc>
          <w:tcPr>
            <w:tcW w:w="1510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83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6" w:type="dxa"/>
            <w:vMerge w:val="continue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76" w:type="dxa"/>
            <w:vMerge w:val="continue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81" w:type="dxa"/>
            <w:vMerge w:val="continue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09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受惠群众人数（含播放观众数）（人次）</w:t>
            </w:r>
          </w:p>
        </w:tc>
        <w:tc>
          <w:tcPr>
            <w:tcW w:w="150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≥100000</w:t>
            </w:r>
          </w:p>
        </w:tc>
        <w:tc>
          <w:tcPr>
            <w:tcW w:w="1510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1231000</w:t>
            </w:r>
          </w:p>
        </w:tc>
        <w:tc>
          <w:tcPr>
            <w:tcW w:w="83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6" w:type="dxa"/>
            <w:vMerge w:val="continue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76" w:type="dxa"/>
            <w:vMerge w:val="continue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81" w:type="dxa"/>
            <w:vMerge w:val="continue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09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参加社会足球赛事人数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（人）</w:t>
            </w:r>
          </w:p>
        </w:tc>
        <w:tc>
          <w:tcPr>
            <w:tcW w:w="150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≥2000</w:t>
            </w:r>
          </w:p>
        </w:tc>
        <w:tc>
          <w:tcPr>
            <w:tcW w:w="1510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2087</w:t>
            </w:r>
          </w:p>
        </w:tc>
        <w:tc>
          <w:tcPr>
            <w:tcW w:w="83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6" w:type="dxa"/>
            <w:vMerge w:val="continue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76" w:type="dxa"/>
            <w:vMerge w:val="continue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81" w:type="dxa"/>
            <w:vMerge w:val="continue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09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媒体报道数量（篇）</w:t>
            </w:r>
          </w:p>
        </w:tc>
        <w:tc>
          <w:tcPr>
            <w:tcW w:w="150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≥900</w:t>
            </w:r>
          </w:p>
        </w:tc>
        <w:tc>
          <w:tcPr>
            <w:tcW w:w="1510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95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83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6" w:type="dxa"/>
            <w:vMerge w:val="continue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76" w:type="dxa"/>
            <w:vMerge w:val="continue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81" w:type="dxa"/>
            <w:vMerge w:val="restar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服务对象满意度</w:t>
            </w:r>
          </w:p>
        </w:tc>
        <w:tc>
          <w:tcPr>
            <w:tcW w:w="2809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受训学员满意度（%）</w:t>
            </w:r>
          </w:p>
        </w:tc>
        <w:tc>
          <w:tcPr>
            <w:tcW w:w="150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≥85</w:t>
            </w:r>
          </w:p>
        </w:tc>
        <w:tc>
          <w:tcPr>
            <w:tcW w:w="1510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89.58</w:t>
            </w:r>
          </w:p>
        </w:tc>
        <w:tc>
          <w:tcPr>
            <w:tcW w:w="83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6" w:type="dxa"/>
            <w:vMerge w:val="continue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76" w:type="dxa"/>
            <w:vMerge w:val="continue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81" w:type="dxa"/>
            <w:vMerge w:val="continue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09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参与赛事运动员满意度（%）</w:t>
            </w:r>
          </w:p>
        </w:tc>
        <w:tc>
          <w:tcPr>
            <w:tcW w:w="150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≥85</w:t>
            </w:r>
          </w:p>
        </w:tc>
        <w:tc>
          <w:tcPr>
            <w:tcW w:w="1510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90.84</w:t>
            </w:r>
          </w:p>
        </w:tc>
        <w:tc>
          <w:tcPr>
            <w:tcW w:w="83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完成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ind w:firstLine="642" w:firstLineChars="200"/>
        <w:textAlignment w:val="auto"/>
        <w:outlineLvl w:val="2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3.专项资金分用途使用绩效。</w:t>
      </w:r>
    </w:p>
    <w:p>
      <w:pPr>
        <w:spacing w:line="360" w:lineRule="auto"/>
        <w:ind w:firstLine="642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（1）积极推动产业统计调研分析调研工作，扩展交流和互动平台，推动体育工作横向和纵深发展。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2" w:firstLineChars="200"/>
        <w:textAlignment w:val="auto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一是建设体育产业发展平台及载体。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开展广东体育产业统计调研分析；筹备第24届广东国际体育用品博览会等活动，加强行业交流，推动形成品牌影响力平台。推进深圳国家体育消费试点城市建设，创新产业政策、消费机制等。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2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二是加强体育产业示范引领。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2023年评选出省级体育产业示范单位、项目，发挥示范效用，培育市场主体。梅州市五华县等入选国家体育产业示范基地、单位。我省17个项目入选“2022年度智能体育典型案例”。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2" w:firstLineChars="200"/>
        <w:textAlignment w:val="auto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三是宣传平台建设与舆情监控。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出台《关于做好网信领域重大风险防范化解工作的通知》，健全舆情应对和监控体系；加大省局官网新闻宣传更新力度，推出热门短视频获好评。2023年省局各平台共发稿6374篇，开设专栏数量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个，专业媒体报道1596次，微信公众平台发稿量1064篇，引导约12800家机构发布约850000篇报道，提升广东体育宣传传播力和影响力。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2" w:firstLineChars="200"/>
        <w:textAlignment w:val="auto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四是体育对外交流与科研工作。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与媒体合作，面向国际传播广东体育好声音。苏炳添速度研究与训练中心获批重点实验室，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筹备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举办论坛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设立基金和科普基地。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通过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汇总分析运动员指标测试结果，建立疲劳监控和促恢复体系，助力备战全运会并推广至大众健身。创新开展运动防护师岗位培训，提升实践能力。</w:t>
      </w:r>
    </w:p>
    <w:p>
      <w:pPr>
        <w:spacing w:line="360" w:lineRule="auto"/>
        <w:ind w:firstLine="642" w:firstLineChars="200"/>
        <w:jc w:val="lef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（2）不断加强足球竞赛体系建设、相关培训宣传，加大产业研究力度，扎实推进我省足球改革发展。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2" w:firstLineChars="200"/>
        <w:textAlignment w:val="auto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一是深入推进足球改革。</w:t>
      </w:r>
      <w:r>
        <w:rPr>
          <w:rFonts w:hint="eastAsia" w:ascii="仿宋_GB2312" w:eastAsia="仿宋_GB2312"/>
          <w:sz w:val="32"/>
          <w:szCs w:val="32"/>
        </w:rPr>
        <w:t>在对我省足球发展情况进行深入调研、结合国内外足球运动快速发展的新形势、借鉴其他省份经验、广泛征求意见的基础上，制定了《关于加快推动广东足球高质量发展的意见》，并于2023年10月23日以广东省人民政府的名义正式印发实施。《意见》从11个方面提出了加快推动广东足球高质量发展的32项改革举措和任务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2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二是完善我省足球竞赛体系，积极组织开展各类竞赛活动。</w:t>
      </w:r>
      <w:r>
        <w:rPr>
          <w:rFonts w:hint="eastAsia" w:ascii="仿宋_GB2312" w:eastAsia="仿宋_GB2312"/>
          <w:sz w:val="32"/>
          <w:szCs w:val="32"/>
        </w:rPr>
        <w:t>举办各级各类足球赛事，推动形成覆盖省、市、县、镇四个级别，少年、青年、成年、中老年四类人群，职业、专业、校园、社会四个类别，十一人制、七人制、五人制（含沙滩）、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三人制等多种赛制的足球赛事体系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举办体育赛事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961次，参加赛事的运动员有2087人次，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媒体微信公众号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粉丝关注量同比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增长率为38%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。通过竞赛带动培训，推动青少年足球运动发展，</w:t>
      </w:r>
      <w:r>
        <w:rPr>
          <w:rFonts w:hint="eastAsia" w:ascii="仿宋_GB2312" w:eastAsia="仿宋_GB2312"/>
          <w:sz w:val="32"/>
          <w:szCs w:val="32"/>
        </w:rPr>
        <w:t>扩大足球人口，提高社会参与积极性。同时，联合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</w:t>
      </w:r>
      <w:r>
        <w:rPr>
          <w:rFonts w:hint="eastAsia" w:ascii="仿宋_GB2312" w:eastAsia="仿宋_GB2312"/>
          <w:sz w:val="32"/>
          <w:szCs w:val="32"/>
        </w:rPr>
        <w:t>部门举办粤港澳大湾区青年足球交流活动，促进交流与合作。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2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三是强化推进足球专业人才培训工作。</w:t>
      </w:r>
      <w:r>
        <w:rPr>
          <w:rFonts w:hint="eastAsia" w:ascii="仿宋_GB2312" w:eastAsia="仿宋_GB2312"/>
          <w:sz w:val="32"/>
          <w:szCs w:val="32"/>
        </w:rPr>
        <w:t>一是建立教练员分级培训体制，采取多元培训方式，提升业务能力和水平。2023年共承办亚足联/中国足协的A、B、C、D四级教练员培训班52期，共计培训教练员1248人；主办广东省足协E级教练员培训班82期，培训教练员2952人。二是健全裁判员管理与培养体系，提高业务素质和执法水平。2023年共举办3期11人制一级足球裁判员培训班，培训裁判员90人；举办1期广</w:t>
      </w:r>
      <w:r>
        <w:rPr>
          <w:rFonts w:hint="eastAsia" w:ascii="仿宋_GB2312" w:eastAsia="仿宋_GB2312"/>
          <w:sz w:val="32"/>
          <w:szCs w:val="32"/>
          <w:highlight w:val="none"/>
        </w:rPr>
        <w:t>东省足球协会联赛裁判员暨十一人制裁判讲师教育培训，培训裁判员160人。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2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（三）专项资金使用绩效存在的问题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资金支出效率尚待提升。此现象主要源于</w:t>
      </w:r>
      <w:r>
        <w:rPr>
          <w:rFonts w:hint="eastAsia" w:hAnsi="Times New Roman" w:cs="Times New Roman"/>
          <w:szCs w:val="32"/>
          <w:highlight w:val="none"/>
        </w:rPr>
        <w:t>部</w:t>
      </w:r>
      <w:r>
        <w:rPr>
          <w:rFonts w:hint="eastAsia" w:ascii="仿宋_GB2312" w:hAnsi="宋体" w:eastAsia="仿宋_GB2312"/>
          <w:kern w:val="0"/>
          <w:sz w:val="32"/>
          <w:szCs w:val="32"/>
        </w:rPr>
        <w:t>部分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转移支付</w:t>
      </w:r>
      <w:r>
        <w:rPr>
          <w:rFonts w:hint="eastAsia" w:ascii="仿宋_GB2312" w:hAnsi="宋体" w:eastAsia="仿宋_GB2312"/>
          <w:kern w:val="0"/>
          <w:sz w:val="32"/>
          <w:szCs w:val="32"/>
        </w:rPr>
        <w:t>资金到位时间较晚</w:t>
      </w:r>
      <w:r>
        <w:rPr>
          <w:rFonts w:hint="eastAsia" w:ascii="仿宋_GB2312" w:hAnsi="仿宋_GB2312" w:eastAsia="仿宋_GB2312" w:cs="仿宋_GB2312"/>
          <w:sz w:val="32"/>
          <w:szCs w:val="32"/>
        </w:rPr>
        <w:t>，导致资金下达至项目单位的时间拖延，以及项目竣工后未能及时支付相关费用。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提升预算执行管控水平。首先，敦促各地市项目尽早提交资金申请，并强化地市主管部门与同级财政间的沟通协调，深入了解资金拨付过程中的难题及成因，共同探讨解决策略，确保项目依规按质完成，使专项资金使用实现高质高效，进而实现资源优化配置。其次，针对年度内确实无法执行的项目，要及时调整预算用途，以提高预算执行的管理能力。</w:t>
      </w:r>
    </w:p>
    <w:p>
      <w:pPr>
        <w:snapToGrid w:val="0"/>
        <w:spacing w:line="360" w:lineRule="auto"/>
      </w:pPr>
    </w:p>
    <w:p/>
    <w:sectPr>
      <w:footerReference r:id="rId3" w:type="default"/>
      <w:pgSz w:w="11906" w:h="16838"/>
      <w:pgMar w:top="1928" w:right="1417" w:bottom="1417" w:left="1531" w:header="851" w:footer="850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w Cen MT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altName w:val="Times New Roman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00380" cy="23114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00380" cy="231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jc w:val="center"/>
                            <w:rPr>
                              <w:rFonts w:asciiTheme="minorEastAsia" w:hAnsiTheme="minorEastAsia" w:eastAsiaTheme="minorEastAsia" w:cstheme="minorEastAsia"/>
                              <w:sz w:val="20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0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0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0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0"/>
                              <w:szCs w:val="28"/>
                            </w:rPr>
                            <w:t>- 15 -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0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2pt;width:39.4pt;mso-position-horizontal:center;mso-position-horizontal-relative:margin;z-index:251659264;mso-width-relative:page;mso-height-relative:page;" filled="f" stroked="f" coordsize="21600,21600" o:gfxdata="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Sqt1y0wAAAAMBAAAPAAAAAAAAAAEAIAAAADgAAABkcnMvZG93bnJldi54bWxQSwECFAAU&#10;AAAACACHTuJAAge0CRkCAAAZBAAADgAAAAAAAAABACAAAAA4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  <w:jc w:val="center"/>
                      <w:rPr>
                        <w:rFonts w:asciiTheme="minorEastAsia" w:hAnsiTheme="minorEastAsia" w:eastAsiaTheme="minorEastAsia" w:cstheme="minorEastAsia"/>
                        <w:sz w:val="20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0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0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0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0"/>
                        <w:szCs w:val="28"/>
                      </w:rPr>
                      <w:t>- 15 -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0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9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2ZTUyMmY5N2Q1ZDlhNjE4Nzc5NWY5NWViZTQwNjYifQ=="/>
  </w:docVars>
  <w:rsids>
    <w:rsidRoot w:val="00D52AF0"/>
    <w:rsid w:val="00091F07"/>
    <w:rsid w:val="0018072F"/>
    <w:rsid w:val="00181109"/>
    <w:rsid w:val="00250902"/>
    <w:rsid w:val="0026680C"/>
    <w:rsid w:val="00341FA5"/>
    <w:rsid w:val="003857F8"/>
    <w:rsid w:val="003B785C"/>
    <w:rsid w:val="00477A27"/>
    <w:rsid w:val="004A0FDF"/>
    <w:rsid w:val="0058776C"/>
    <w:rsid w:val="005F0952"/>
    <w:rsid w:val="00694323"/>
    <w:rsid w:val="009809B2"/>
    <w:rsid w:val="009D01C6"/>
    <w:rsid w:val="00A32A73"/>
    <w:rsid w:val="00A7227F"/>
    <w:rsid w:val="00B052F9"/>
    <w:rsid w:val="00C14DF7"/>
    <w:rsid w:val="00D251F2"/>
    <w:rsid w:val="00D52AF0"/>
    <w:rsid w:val="00DB1D73"/>
    <w:rsid w:val="00FC1E02"/>
    <w:rsid w:val="00FC5A60"/>
    <w:rsid w:val="016D6E1B"/>
    <w:rsid w:val="01F8404F"/>
    <w:rsid w:val="03821B27"/>
    <w:rsid w:val="03BF6A02"/>
    <w:rsid w:val="040E6340"/>
    <w:rsid w:val="052251BF"/>
    <w:rsid w:val="0774295E"/>
    <w:rsid w:val="08B321EC"/>
    <w:rsid w:val="0D3117F7"/>
    <w:rsid w:val="0ED53BF8"/>
    <w:rsid w:val="0F930068"/>
    <w:rsid w:val="10A520F6"/>
    <w:rsid w:val="11257B2E"/>
    <w:rsid w:val="11614CCD"/>
    <w:rsid w:val="128408B0"/>
    <w:rsid w:val="13144FF5"/>
    <w:rsid w:val="1534318F"/>
    <w:rsid w:val="161F42DB"/>
    <w:rsid w:val="162163A6"/>
    <w:rsid w:val="164B40DD"/>
    <w:rsid w:val="176F4EEF"/>
    <w:rsid w:val="177A3293"/>
    <w:rsid w:val="18971CF9"/>
    <w:rsid w:val="19347E8E"/>
    <w:rsid w:val="19521D97"/>
    <w:rsid w:val="199649B5"/>
    <w:rsid w:val="19E44606"/>
    <w:rsid w:val="1AA233B7"/>
    <w:rsid w:val="1AB8354F"/>
    <w:rsid w:val="1AE87641"/>
    <w:rsid w:val="1E5D24F5"/>
    <w:rsid w:val="1E602BCB"/>
    <w:rsid w:val="1EC722EE"/>
    <w:rsid w:val="1F807DBA"/>
    <w:rsid w:val="1FDE7DE1"/>
    <w:rsid w:val="20885114"/>
    <w:rsid w:val="223034CD"/>
    <w:rsid w:val="22347421"/>
    <w:rsid w:val="224F6049"/>
    <w:rsid w:val="2285724A"/>
    <w:rsid w:val="246D6C5B"/>
    <w:rsid w:val="273F0E65"/>
    <w:rsid w:val="275453A8"/>
    <w:rsid w:val="2810754D"/>
    <w:rsid w:val="287F46CA"/>
    <w:rsid w:val="29465F48"/>
    <w:rsid w:val="299309DB"/>
    <w:rsid w:val="29E40DCB"/>
    <w:rsid w:val="2A382FBB"/>
    <w:rsid w:val="2ABB4BBC"/>
    <w:rsid w:val="2AE963DE"/>
    <w:rsid w:val="2EDC1D71"/>
    <w:rsid w:val="304816FB"/>
    <w:rsid w:val="30BF25EC"/>
    <w:rsid w:val="33770F5C"/>
    <w:rsid w:val="33AF185E"/>
    <w:rsid w:val="35FC6A7F"/>
    <w:rsid w:val="385D72E2"/>
    <w:rsid w:val="3CB0354A"/>
    <w:rsid w:val="3CC71A46"/>
    <w:rsid w:val="3CDA52CD"/>
    <w:rsid w:val="3EC04461"/>
    <w:rsid w:val="3FC24048"/>
    <w:rsid w:val="3FC92B34"/>
    <w:rsid w:val="413E3054"/>
    <w:rsid w:val="42351C7E"/>
    <w:rsid w:val="42D118C1"/>
    <w:rsid w:val="454F7F8B"/>
    <w:rsid w:val="4645313C"/>
    <w:rsid w:val="4723555E"/>
    <w:rsid w:val="49A533D4"/>
    <w:rsid w:val="4A7032D2"/>
    <w:rsid w:val="4FF7555E"/>
    <w:rsid w:val="508052B4"/>
    <w:rsid w:val="51326AF8"/>
    <w:rsid w:val="51A72EFC"/>
    <w:rsid w:val="527620E7"/>
    <w:rsid w:val="529B362D"/>
    <w:rsid w:val="52A402A9"/>
    <w:rsid w:val="56866088"/>
    <w:rsid w:val="56A579BF"/>
    <w:rsid w:val="5733219C"/>
    <w:rsid w:val="575035BF"/>
    <w:rsid w:val="57FD6904"/>
    <w:rsid w:val="5A7C071A"/>
    <w:rsid w:val="5A955B71"/>
    <w:rsid w:val="5B910A16"/>
    <w:rsid w:val="5C230000"/>
    <w:rsid w:val="5C9A188E"/>
    <w:rsid w:val="5CA6628A"/>
    <w:rsid w:val="5CE842FC"/>
    <w:rsid w:val="5D2906B5"/>
    <w:rsid w:val="5DF92C46"/>
    <w:rsid w:val="5FD541FA"/>
    <w:rsid w:val="5FFB2874"/>
    <w:rsid w:val="61AF70D4"/>
    <w:rsid w:val="62631AFA"/>
    <w:rsid w:val="63BF631B"/>
    <w:rsid w:val="64AD3F2E"/>
    <w:rsid w:val="64E32A0C"/>
    <w:rsid w:val="659F667B"/>
    <w:rsid w:val="65E257BB"/>
    <w:rsid w:val="667D0C47"/>
    <w:rsid w:val="669422EC"/>
    <w:rsid w:val="67F05D05"/>
    <w:rsid w:val="6A392B8D"/>
    <w:rsid w:val="6B6F018F"/>
    <w:rsid w:val="6C4D6C36"/>
    <w:rsid w:val="6CB73FA9"/>
    <w:rsid w:val="6ECD1C4E"/>
    <w:rsid w:val="6FB8AB36"/>
    <w:rsid w:val="717A163C"/>
    <w:rsid w:val="71BC39CF"/>
    <w:rsid w:val="723810E6"/>
    <w:rsid w:val="74FF07D6"/>
    <w:rsid w:val="75A44ED9"/>
    <w:rsid w:val="76793722"/>
    <w:rsid w:val="772F6B0E"/>
    <w:rsid w:val="789D7348"/>
    <w:rsid w:val="794239EE"/>
    <w:rsid w:val="795919A9"/>
    <w:rsid w:val="79E4336E"/>
    <w:rsid w:val="7BC477E4"/>
    <w:rsid w:val="7BCD654A"/>
    <w:rsid w:val="7BD170FD"/>
    <w:rsid w:val="7D593E99"/>
    <w:rsid w:val="7DEF1388"/>
    <w:rsid w:val="7DFFA6C7"/>
    <w:rsid w:val="7F771C7A"/>
    <w:rsid w:val="7FBE619B"/>
    <w:rsid w:val="7FF46CB3"/>
    <w:rsid w:val="BCFD1607"/>
    <w:rsid w:val="EFFBB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/>
      <w:b/>
      <w:bCs/>
      <w:kern w:val="0"/>
      <w:sz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0"/>
    <w:rPr>
      <w:rFonts w:eastAsia="仿宋_GB2312"/>
      <w:sz w:val="32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Balloon Text"/>
    <w:basedOn w:val="1"/>
    <w:link w:val="20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2"/>
    <w:basedOn w:val="1"/>
    <w:next w:val="1"/>
    <w:qFormat/>
    <w:uiPriority w:val="0"/>
    <w:pPr>
      <w:ind w:left="420" w:leftChars="200"/>
    </w:pPr>
  </w:style>
  <w:style w:type="paragraph" w:styleId="10">
    <w:name w:val="Body Text First Indent 2"/>
    <w:basedOn w:val="5"/>
    <w:next w:val="1"/>
    <w:qFormat/>
    <w:uiPriority w:val="99"/>
    <w:pPr>
      <w:spacing w:line="360" w:lineRule="auto"/>
      <w:ind w:firstLine="420" w:firstLineChars="200"/>
    </w:pPr>
    <w:rPr>
      <w:rFonts w:ascii="仿宋_GB2312" w:hAnsi="仿宋_GB2312" w:eastAsia="仿宋_GB2312"/>
      <w:sz w:val="32"/>
    </w:rPr>
  </w:style>
  <w:style w:type="table" w:styleId="12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4">
    <w:name w:val="Emphasis"/>
    <w:basedOn w:val="13"/>
    <w:qFormat/>
    <w:uiPriority w:val="0"/>
    <w:rPr>
      <w:i/>
    </w:rPr>
  </w:style>
  <w:style w:type="character" w:styleId="15">
    <w:name w:val="annotation reference"/>
    <w:basedOn w:val="13"/>
    <w:qFormat/>
    <w:uiPriority w:val="0"/>
    <w:rPr>
      <w:sz w:val="21"/>
      <w:szCs w:val="21"/>
    </w:rPr>
  </w:style>
  <w:style w:type="paragraph" w:customStyle="1" w:styleId="16">
    <w:name w:val="Char Char"/>
    <w:basedOn w:val="1"/>
    <w:qFormat/>
    <w:uiPriority w:val="0"/>
    <w:pPr>
      <w:widowControl/>
      <w:adjustRightInd w:val="0"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17">
    <w:name w:val="font0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2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19">
    <w:name w:val="_Style 5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character" w:customStyle="1" w:styleId="20">
    <w:name w:val="批注框文本 Char"/>
    <w:basedOn w:val="13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23</Pages>
  <Words>9461</Words>
  <Characters>10378</Characters>
  <Lines>106</Lines>
  <Paragraphs>30</Paragraphs>
  <TotalTime>0</TotalTime>
  <ScaleCrop>false</ScaleCrop>
  <LinksUpToDate>false</LinksUpToDate>
  <CharactersWithSpaces>10385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2024-05-23T14:08:00Z</dcterms:created>
  <dc:creator>崔竹英</dc:creator>
  <cp:lastModifiedBy>钟芹香</cp:lastModifiedBy>
  <cp:lastPrinted>2021-06-30T22:50:00Z</cp:lastPrinted>
  <dcterms:modified xsi:type="dcterms:W3CDTF">2024-06-20T11:14:19Z</dcterms:modified>
  <dc:title>《规程》附件3-2：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D7B47F71F0564469AB9C2EBCCC5DC5DD_13</vt:lpwstr>
  </property>
</Properties>
</file>